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458F847E" w:rsidR="000B4207" w:rsidRPr="000B4207" w:rsidRDefault="000B4207" w:rsidP="16512788">
      <w:pPr>
        <w:tabs>
          <w:tab w:val="center" w:pos="4536"/>
          <w:tab w:val="right" w:pos="9356"/>
          <w:tab w:val="right" w:pos="9639"/>
        </w:tabs>
        <w:spacing w:after="0" w:line="259" w:lineRule="auto"/>
        <w:rPr>
          <w:rFonts w:ascii="Arial" w:hAnsi="Arial" w:cs="Arial"/>
          <w:b/>
          <w:bCs/>
          <w:sz w:val="24"/>
          <w:szCs w:val="24"/>
        </w:rPr>
      </w:pPr>
      <w:bookmarkStart w:id="0" w:name="_GoBack"/>
      <w:bookmarkEnd w:id="0"/>
      <w:r w:rsidRPr="141204DA">
        <w:rPr>
          <w:rFonts w:ascii="Arial" w:hAnsi="Arial" w:cs="Arial"/>
          <w:b/>
          <w:bCs/>
          <w:sz w:val="24"/>
          <w:szCs w:val="24"/>
        </w:rPr>
        <w:t>3GPP TSG RAN WG1 Meeting 90bis</w:t>
      </w:r>
      <w:r w:rsidRPr="000B4207">
        <w:rPr>
          <w:rFonts w:ascii="Arial" w:eastAsia="MS Mincho" w:hAnsi="Arial" w:cs="Arial"/>
          <w:b/>
          <w:bCs/>
          <w:sz w:val="24"/>
          <w:lang w:eastAsia="ja-JP"/>
        </w:rPr>
        <w:tab/>
      </w:r>
      <w:r w:rsidRPr="141204DA">
        <w:rPr>
          <w:rFonts w:ascii="Arial" w:hAnsi="Arial" w:cs="Arial"/>
          <w:b/>
          <w:bCs/>
          <w:sz w:val="24"/>
          <w:szCs w:val="24"/>
        </w:rPr>
        <w:t xml:space="preserve">           </w:t>
      </w:r>
      <w:r>
        <w:rPr>
          <w:rFonts w:ascii="Arial" w:hAnsi="Arial" w:cs="Arial"/>
          <w:b/>
          <w:bCs/>
          <w:sz w:val="24"/>
        </w:rPr>
        <w:tab/>
      </w:r>
      <w:r w:rsidRPr="141204DA">
        <w:rPr>
          <w:rFonts w:ascii="Arial" w:hAnsi="Arial" w:cs="Arial"/>
          <w:b/>
          <w:bCs/>
          <w:sz w:val="24"/>
          <w:szCs w:val="24"/>
        </w:rPr>
        <w:t>R1-1</w:t>
      </w:r>
      <w:r w:rsidRPr="141204DA">
        <w:rPr>
          <w:rFonts w:ascii="Arial" w:eastAsia="MS Mincho" w:hAnsi="Arial" w:cs="Arial"/>
          <w:b/>
          <w:bCs/>
          <w:sz w:val="24"/>
          <w:szCs w:val="24"/>
          <w:lang w:eastAsia="ja-JP"/>
        </w:rPr>
        <w:t>71</w:t>
      </w:r>
      <w:r w:rsidR="141204DA" w:rsidRPr="141204DA">
        <w:rPr>
          <w:rFonts w:ascii="Arial" w:eastAsia="MS Mincho" w:hAnsi="Arial" w:cs="Arial"/>
          <w:b/>
          <w:bCs/>
          <w:sz w:val="24"/>
          <w:szCs w:val="24"/>
          <w:lang w:eastAsia="ja-JP"/>
        </w:rPr>
        <w:t>8620</w:t>
      </w:r>
    </w:p>
    <w:p w14:paraId="3D4EE5DD" w14:textId="77777777" w:rsidR="000B4207" w:rsidRPr="000B4207" w:rsidRDefault="16512788" w:rsidP="16512788">
      <w:pPr>
        <w:tabs>
          <w:tab w:val="center" w:pos="4536"/>
          <w:tab w:val="right" w:pos="9072"/>
        </w:tabs>
        <w:rPr>
          <w:rFonts w:ascii="Arial" w:eastAsia="MS Mincho" w:hAnsi="Arial" w:cs="Arial"/>
          <w:b/>
          <w:bCs/>
          <w:sz w:val="24"/>
          <w:szCs w:val="24"/>
          <w:lang w:eastAsia="ja-JP"/>
        </w:rPr>
      </w:pPr>
      <w:r w:rsidRPr="16512788">
        <w:rPr>
          <w:rFonts w:ascii="Arial" w:eastAsia="MS Mincho" w:hAnsi="Arial" w:cs="Arial"/>
          <w:b/>
          <w:bCs/>
          <w:sz w:val="24"/>
          <w:szCs w:val="24"/>
          <w:lang w:eastAsia="ja-JP"/>
        </w:rPr>
        <w:t>Prague, CZ, 9</w:t>
      </w:r>
      <w:r w:rsidRPr="16512788">
        <w:rPr>
          <w:rFonts w:ascii="Arial" w:eastAsia="MS Mincho" w:hAnsi="Arial" w:cs="Arial"/>
          <w:b/>
          <w:bCs/>
          <w:sz w:val="24"/>
          <w:szCs w:val="24"/>
          <w:vertAlign w:val="superscript"/>
          <w:lang w:eastAsia="ja-JP"/>
        </w:rPr>
        <w:t>th</w:t>
      </w:r>
      <w:r w:rsidRPr="16512788">
        <w:rPr>
          <w:rFonts w:ascii="Arial" w:eastAsia="MS Mincho" w:hAnsi="Arial" w:cs="Arial"/>
          <w:b/>
          <w:bCs/>
          <w:sz w:val="24"/>
          <w:szCs w:val="24"/>
          <w:lang w:eastAsia="ja-JP"/>
        </w:rPr>
        <w:t xml:space="preserve"> – 13</w:t>
      </w:r>
      <w:r w:rsidRPr="16512788">
        <w:rPr>
          <w:rFonts w:ascii="Arial" w:eastAsia="MS Mincho" w:hAnsi="Arial" w:cs="Arial"/>
          <w:b/>
          <w:bCs/>
          <w:sz w:val="24"/>
          <w:szCs w:val="24"/>
          <w:vertAlign w:val="superscript"/>
          <w:lang w:eastAsia="ja-JP"/>
        </w:rPr>
        <w:t>th</w:t>
      </w:r>
      <w:r w:rsidRPr="16512788">
        <w:rPr>
          <w:rFonts w:ascii="Arial" w:eastAsia="MS Mincho" w:hAnsi="Arial" w:cs="Arial"/>
          <w:b/>
          <w:bCs/>
          <w:sz w:val="24"/>
          <w:szCs w:val="24"/>
          <w:lang w:eastAsia="ja-JP"/>
        </w:rPr>
        <w:t xml:space="preserve">, </w:t>
      </w:r>
      <w:r w:rsidRPr="16512788">
        <w:rPr>
          <w:rFonts w:ascii="Arial" w:hAnsi="Arial" w:cs="Arial"/>
          <w:b/>
          <w:bCs/>
          <w:sz w:val="24"/>
          <w:szCs w:val="24"/>
        </w:rPr>
        <w:t>October 201</w:t>
      </w:r>
      <w:r w:rsidRPr="16512788">
        <w:rPr>
          <w:rFonts w:ascii="Arial" w:eastAsia="MS Mincho" w:hAnsi="Arial" w:cs="Arial"/>
          <w:b/>
          <w:bCs/>
          <w:sz w:val="24"/>
          <w:szCs w:val="24"/>
          <w:lang w:eastAsia="ja-JP"/>
        </w:rPr>
        <w:t>7</w:t>
      </w:r>
    </w:p>
    <w:p w14:paraId="30E02940" w14:textId="77777777" w:rsidR="00CA26CE" w:rsidRPr="0016316A" w:rsidRDefault="00CA26CE" w:rsidP="00CA26CE">
      <w:pPr>
        <w:pStyle w:val="Header"/>
        <w:rPr>
          <w:bCs/>
          <w:noProof w:val="0"/>
          <w:sz w:val="24"/>
          <w:lang w:val="en-GB" w:eastAsia="ja-JP"/>
        </w:rPr>
      </w:pPr>
    </w:p>
    <w:p w14:paraId="30E02941" w14:textId="326038BE"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.3.3.1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D0B19A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F2D5B" w:rsidRPr="3E61DC49">
        <w:rPr>
          <w:rFonts w:ascii="Arial" w:hAnsi="Arial" w:cs="Arial"/>
          <w:b/>
          <w:bCs/>
          <w:sz w:val="24"/>
          <w:szCs w:val="24"/>
        </w:rPr>
        <w:t xml:space="preserve">On </w:t>
      </w:r>
      <w:r w:rsidR="002C5510" w:rsidRPr="3E61DC49">
        <w:rPr>
          <w:rFonts w:ascii="Arial" w:hAnsi="Arial" w:cs="Arial"/>
          <w:b/>
          <w:bCs/>
          <w:sz w:val="24"/>
          <w:szCs w:val="24"/>
        </w:rPr>
        <w:t>resource allocation</w:t>
      </w:r>
      <w:r w:rsidR="008359EB" w:rsidRPr="3E61DC49">
        <w:rPr>
          <w:rFonts w:ascii="Arial" w:hAnsi="Arial" w:cs="Arial"/>
          <w:b/>
          <w:bCs/>
          <w:sz w:val="24"/>
          <w:szCs w:val="24"/>
        </w:rPr>
        <w:t xml:space="preserve"> </w:t>
      </w:r>
      <w:r w:rsidR="00D627E3" w:rsidRPr="3E61DC49">
        <w:rPr>
          <w:rFonts w:ascii="Arial" w:hAnsi="Arial" w:cs="Arial"/>
          <w:b/>
          <w:bCs/>
          <w:sz w:val="24"/>
          <w:szCs w:val="24"/>
        </w:rPr>
        <w:t>for PDSCH and</w:t>
      </w:r>
      <w:r w:rsidR="00C11ADE" w:rsidRPr="3E61DC49">
        <w:rPr>
          <w:rFonts w:ascii="Arial" w:hAnsi="Arial" w:cs="Arial"/>
          <w:b/>
          <w:bCs/>
          <w:sz w:val="24"/>
          <w:szCs w:val="24"/>
        </w:rPr>
        <w:t xml:space="preserve"> PUSCH </w:t>
      </w:r>
      <w:r w:rsidR="008359EB" w:rsidRPr="3E61DC49">
        <w:rPr>
          <w:rFonts w:ascii="Arial" w:hAnsi="Arial" w:cs="Arial"/>
          <w:b/>
          <w:bCs/>
          <w:sz w:val="24"/>
          <w:szCs w:val="24"/>
        </w:rPr>
        <w:t>in NR</w:t>
      </w:r>
      <w:r w:rsidR="00AA5DF4" w:rsidRPr="3E61DC49">
        <w:rPr>
          <w:rFonts w:ascii="Arial" w:hAnsi="Arial" w:cs="Arial"/>
          <w:b/>
          <w:bCs/>
          <w:sz w:val="24"/>
          <w:szCs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1ED867CD" w14:textId="44182272" w:rsidR="000717FB" w:rsidRPr="000717FB" w:rsidRDefault="141204DA" w:rsidP="141204DA">
      <w:pPr>
        <w:spacing w:after="120"/>
        <w:jc w:val="both"/>
        <w:rPr>
          <w:lang w:val="en-US"/>
        </w:rPr>
      </w:pPr>
      <w:r w:rsidRPr="141204DA">
        <w:rPr>
          <w:lang w:val="en-US"/>
        </w:rPr>
        <w:t>In this contribution, we discuss the remaining issues of the following topics:</w:t>
      </w:r>
    </w:p>
    <w:p w14:paraId="62638A60" w14:textId="77777777" w:rsidR="000717FB" w:rsidRPr="000717FB" w:rsidRDefault="141204DA" w:rsidP="141204DA">
      <w:pPr>
        <w:pStyle w:val="ListParagraph"/>
        <w:numPr>
          <w:ilvl w:val="0"/>
          <w:numId w:val="13"/>
        </w:numPr>
        <w:rPr>
          <w:sz w:val="20"/>
          <w:szCs w:val="20"/>
          <w:lang w:val="en-US"/>
        </w:rPr>
      </w:pPr>
      <w:r w:rsidRPr="141204DA">
        <w:rPr>
          <w:sz w:val="20"/>
          <w:szCs w:val="20"/>
          <w:lang w:val="en-US"/>
        </w:rPr>
        <w:t>Resource allocation in frequency domain for both PDSCH and PUSCH</w:t>
      </w:r>
    </w:p>
    <w:p w14:paraId="220D8D23" w14:textId="7B87DA18" w:rsidR="0052773A" w:rsidRPr="0052773A" w:rsidRDefault="141204DA" w:rsidP="141204DA">
      <w:pPr>
        <w:pStyle w:val="ListParagraph"/>
        <w:numPr>
          <w:ilvl w:val="0"/>
          <w:numId w:val="13"/>
        </w:numPr>
        <w:spacing w:after="120"/>
        <w:jc w:val="both"/>
        <w:rPr>
          <w:sz w:val="20"/>
          <w:szCs w:val="20"/>
          <w:lang w:val="en-US"/>
        </w:rPr>
      </w:pPr>
      <w:r w:rsidRPr="141204DA">
        <w:rPr>
          <w:sz w:val="20"/>
          <w:szCs w:val="20"/>
          <w:lang w:val="en-US"/>
        </w:rPr>
        <w:t>Minimum and maximum scheduling interval</w:t>
      </w:r>
    </w:p>
    <w:p w14:paraId="7CEC4E41" w14:textId="4DA5B6AA" w:rsidR="0052773A" w:rsidRPr="0052773A" w:rsidRDefault="141204DA" w:rsidP="141204DA">
      <w:pPr>
        <w:pStyle w:val="ListParagraph"/>
        <w:numPr>
          <w:ilvl w:val="0"/>
          <w:numId w:val="13"/>
        </w:numPr>
        <w:spacing w:after="120"/>
        <w:jc w:val="both"/>
        <w:rPr>
          <w:sz w:val="20"/>
          <w:szCs w:val="20"/>
          <w:lang w:val="en-US"/>
        </w:rPr>
      </w:pPr>
      <w:r w:rsidRPr="141204DA">
        <w:rPr>
          <w:sz w:val="20"/>
          <w:szCs w:val="20"/>
          <w:lang w:val="en-US"/>
        </w:rPr>
        <w:t>Scheduling timing for both PDSCH and PUSCH</w:t>
      </w:r>
    </w:p>
    <w:p w14:paraId="0E6E3854" w14:textId="5B57D75C" w:rsidR="0052773A" w:rsidRDefault="141204DA" w:rsidP="141204DA">
      <w:pPr>
        <w:pStyle w:val="ListParagraph"/>
        <w:numPr>
          <w:ilvl w:val="0"/>
          <w:numId w:val="13"/>
        </w:numPr>
        <w:spacing w:after="120"/>
        <w:jc w:val="both"/>
        <w:rPr>
          <w:sz w:val="20"/>
          <w:szCs w:val="20"/>
          <w:lang w:val="en-US"/>
        </w:rPr>
      </w:pPr>
      <w:r w:rsidRPr="141204DA">
        <w:rPr>
          <w:sz w:val="20"/>
          <w:szCs w:val="20"/>
          <w:lang w:val="en-US"/>
        </w:rPr>
        <w:t>PDSCH/PUSCH transmission duration</w:t>
      </w:r>
    </w:p>
    <w:p w14:paraId="055833CB" w14:textId="04834A93" w:rsidR="00AE61B2" w:rsidRPr="0052773A" w:rsidRDefault="141204DA" w:rsidP="141204DA">
      <w:pPr>
        <w:pStyle w:val="ListParagraph"/>
        <w:numPr>
          <w:ilvl w:val="0"/>
          <w:numId w:val="13"/>
        </w:numPr>
        <w:spacing w:after="120"/>
        <w:jc w:val="both"/>
        <w:rPr>
          <w:sz w:val="20"/>
          <w:szCs w:val="20"/>
          <w:lang w:val="en-US"/>
        </w:rPr>
      </w:pPr>
      <w:r w:rsidRPr="141204DA">
        <w:rPr>
          <w:sz w:val="20"/>
          <w:szCs w:val="20"/>
          <w:lang w:val="en-US"/>
        </w:rPr>
        <w:t>TBS determination.</w:t>
      </w:r>
    </w:p>
    <w:p w14:paraId="30E0296E" w14:textId="6B31B843" w:rsidR="004B23AD" w:rsidRDefault="008D4B8A" w:rsidP="004B23AD">
      <w:pPr>
        <w:pStyle w:val="Heading1"/>
      </w:pPr>
      <w:r>
        <w:rPr>
          <w:color w:val="000000"/>
        </w:rPr>
        <w:t>2</w:t>
      </w:r>
      <w:r w:rsidR="004B23AD" w:rsidRPr="00A51522">
        <w:rPr>
          <w:color w:val="000000"/>
        </w:rPr>
        <w:tab/>
      </w:r>
      <w:r w:rsidR="0052773A">
        <w:rPr>
          <w:color w:val="000000"/>
        </w:rPr>
        <w:t>Frequency domain resource allocation</w:t>
      </w:r>
    </w:p>
    <w:p w14:paraId="2B4DC6E0" w14:textId="12BB7D8F" w:rsidR="00A365AD" w:rsidRDefault="141204DA" w:rsidP="141204DA">
      <w:pPr>
        <w:spacing w:after="120"/>
        <w:jc w:val="both"/>
        <w:rPr>
          <w:rFonts w:eastAsia="MS Mincho"/>
          <w:lang w:val="en-US" w:eastAsia="ja-JP"/>
        </w:rPr>
      </w:pPr>
      <w:r w:rsidRPr="141204DA">
        <w:rPr>
          <w:rFonts w:eastAsia="MS Mincho"/>
          <w:lang w:val="en-US" w:eastAsia="ja-JP"/>
        </w:rPr>
        <w:t>As a short recap, we have agreed so far to support the following:</w:t>
      </w:r>
    </w:p>
    <w:p w14:paraId="5006E536" w14:textId="7EF58D99" w:rsidR="001C5296" w:rsidRDefault="141204DA" w:rsidP="141204DA">
      <w:pPr>
        <w:pStyle w:val="ListParagraph"/>
        <w:numPr>
          <w:ilvl w:val="0"/>
          <w:numId w:val="4"/>
        </w:numPr>
        <w:spacing w:after="120"/>
        <w:jc w:val="both"/>
        <w:rPr>
          <w:rFonts w:eastAsia="MS Mincho"/>
          <w:sz w:val="20"/>
          <w:szCs w:val="20"/>
          <w:lang w:val="en-US" w:eastAsia="ja-JP"/>
        </w:rPr>
      </w:pPr>
      <w:r w:rsidRPr="141204DA">
        <w:rPr>
          <w:sz w:val="20"/>
          <w:szCs w:val="20"/>
          <w:lang w:val="en-US"/>
        </w:rPr>
        <w:t>PDSCH and CP-OFDM based PUSCH: RA based on LTE DL RA type 0 (bitmap, contiguous and non-contiguous)</w:t>
      </w:r>
    </w:p>
    <w:p w14:paraId="61D338FE" w14:textId="749BBD99" w:rsidR="00A365AD" w:rsidRPr="00593A72" w:rsidRDefault="141204DA" w:rsidP="141204DA">
      <w:pPr>
        <w:pStyle w:val="ListParagraph"/>
        <w:numPr>
          <w:ilvl w:val="0"/>
          <w:numId w:val="4"/>
        </w:numPr>
        <w:spacing w:after="120"/>
        <w:jc w:val="both"/>
        <w:rPr>
          <w:rFonts w:eastAsia="MS Mincho"/>
          <w:sz w:val="20"/>
          <w:szCs w:val="20"/>
          <w:lang w:val="en-US" w:eastAsia="ja-JP"/>
        </w:rPr>
      </w:pPr>
      <w:r w:rsidRPr="141204DA">
        <w:rPr>
          <w:rFonts w:eastAsia="MS Mincho"/>
          <w:sz w:val="20"/>
          <w:szCs w:val="20"/>
          <w:lang w:val="en-US" w:eastAsia="ja-JP"/>
        </w:rPr>
        <w:t xml:space="preserve">PDSCH: </w:t>
      </w:r>
      <w:r w:rsidRPr="141204DA">
        <w:rPr>
          <w:sz w:val="20"/>
          <w:szCs w:val="20"/>
          <w:lang w:val="en-US"/>
        </w:rPr>
        <w:t xml:space="preserve">RA based on LTE DL RA type 2 (start-stop/length, contiguous and non-contiguous) </w:t>
      </w:r>
    </w:p>
    <w:p w14:paraId="7F3E5C42" w14:textId="15C589D3" w:rsidR="00A365AD" w:rsidRDefault="141204DA" w:rsidP="141204DA">
      <w:pPr>
        <w:pStyle w:val="ListParagraph"/>
        <w:numPr>
          <w:ilvl w:val="0"/>
          <w:numId w:val="4"/>
        </w:numPr>
        <w:spacing w:after="120"/>
        <w:jc w:val="both"/>
        <w:rPr>
          <w:rFonts w:eastAsia="MS Mincho"/>
          <w:sz w:val="20"/>
          <w:szCs w:val="20"/>
          <w:lang w:val="en-US" w:eastAsia="ja-JP"/>
        </w:rPr>
      </w:pPr>
      <w:r w:rsidRPr="141204DA">
        <w:rPr>
          <w:rFonts w:eastAsia="MS Mincho"/>
          <w:sz w:val="20"/>
          <w:szCs w:val="20"/>
          <w:lang w:val="en-US" w:eastAsia="ja-JP"/>
        </w:rPr>
        <w:t>DFT-S-OFDM and CP-OFDM based PUSCH: RA based on LTE UL RA Type 0 (start-stop/length, contiguous)</w:t>
      </w:r>
    </w:p>
    <w:p w14:paraId="431582F5" w14:textId="4A33586C" w:rsidR="00A365AD" w:rsidRDefault="00A3629E" w:rsidP="141204DA">
      <w:pPr>
        <w:pStyle w:val="Heading2"/>
        <w:rPr>
          <w:lang w:val="en-US" w:eastAsia="ja-JP"/>
        </w:rPr>
      </w:pPr>
      <w:r>
        <w:rPr>
          <w:lang w:val="en-US" w:eastAsia="ja-JP"/>
        </w:rPr>
        <w:t>2.1</w:t>
      </w:r>
      <w:r>
        <w:rPr>
          <w:lang w:val="en-US" w:eastAsia="ja-JP"/>
        </w:rPr>
        <w:tab/>
      </w:r>
      <w:r w:rsidR="00D944E4">
        <w:rPr>
          <w:lang w:val="en-US" w:eastAsia="ja-JP"/>
        </w:rPr>
        <w:t xml:space="preserve">On details of UL/DL resource </w:t>
      </w:r>
      <w:r>
        <w:rPr>
          <w:lang w:val="en-US" w:eastAsia="ja-JP"/>
        </w:rPr>
        <w:t xml:space="preserve">allocation </w:t>
      </w:r>
      <w:r w:rsidR="00D944E4">
        <w:rPr>
          <w:lang w:val="en-US" w:eastAsia="ja-JP"/>
        </w:rPr>
        <w:t>T</w:t>
      </w:r>
      <w:r>
        <w:rPr>
          <w:lang w:val="en-US" w:eastAsia="ja-JP"/>
        </w:rPr>
        <w:t>ype 0</w:t>
      </w:r>
    </w:p>
    <w:p w14:paraId="0AD578C2" w14:textId="6CE5E288" w:rsidR="00A3629E" w:rsidRDefault="141204DA" w:rsidP="141204DA">
      <w:pPr>
        <w:spacing w:after="120"/>
        <w:jc w:val="both"/>
        <w:rPr>
          <w:rFonts w:eastAsia="MS Mincho"/>
          <w:lang w:val="en-US" w:eastAsia="ja-JP"/>
        </w:rPr>
      </w:pPr>
      <w:r w:rsidRPr="141204DA">
        <w:rPr>
          <w:rFonts w:eastAsia="MS Mincho"/>
          <w:lang w:val="en-US" w:eastAsia="ja-JP"/>
        </w:rPr>
        <w:t xml:space="preserve">This is applicable to </w:t>
      </w:r>
      <w:r w:rsidRPr="141204DA">
        <w:rPr>
          <w:lang w:val="en-US"/>
        </w:rPr>
        <w:t>PDSCH and CP-OFDM based PUSCH.</w:t>
      </w:r>
    </w:p>
    <w:p w14:paraId="30D58BC1" w14:textId="21D64815" w:rsidR="00AE2BED" w:rsidRPr="00EA1059" w:rsidRDefault="141204DA" w:rsidP="141204DA">
      <w:pPr>
        <w:spacing w:after="120"/>
        <w:jc w:val="both"/>
        <w:rPr>
          <w:rFonts w:eastAsia="MS Mincho"/>
          <w:b/>
          <w:bCs/>
          <w:u w:val="single"/>
          <w:lang w:val="en-US" w:eastAsia="ja-JP"/>
        </w:rPr>
      </w:pPr>
      <w:r w:rsidRPr="141204DA">
        <w:rPr>
          <w:rFonts w:eastAsia="MS Mincho"/>
          <w:b/>
          <w:bCs/>
          <w:u w:val="single"/>
          <w:lang w:val="en-US" w:eastAsia="ja-JP"/>
        </w:rPr>
        <w:t>RBG size determination</w:t>
      </w:r>
    </w:p>
    <w:p w14:paraId="082DFBD6" w14:textId="457F98DD" w:rsidR="00DA470D" w:rsidRDefault="141204DA" w:rsidP="141204DA">
      <w:pPr>
        <w:spacing w:after="120"/>
        <w:jc w:val="both"/>
        <w:rPr>
          <w:rFonts w:eastAsia="MS Mincho"/>
          <w:lang w:val="en-US" w:eastAsia="ja-JP"/>
        </w:rPr>
      </w:pPr>
      <w:r w:rsidRPr="141204DA">
        <w:rPr>
          <w:rFonts w:eastAsia="MS Mincho"/>
          <w:lang w:val="en-US" w:eastAsia="ja-JP"/>
        </w:rPr>
        <w:t>For LTE DL RA type 0, a bitmap is used to indicate the resource block groups (RBGs) allocated to the UE. It supports both contiguous and non-contiguous allocation, and the minimum granularity is a RBG.</w:t>
      </w:r>
    </w:p>
    <w:p w14:paraId="682FCEF4" w14:textId="0ECE9DB6" w:rsidR="00ED721A" w:rsidRDefault="141204DA" w:rsidP="141204DA">
      <w:pPr>
        <w:spacing w:after="120"/>
        <w:jc w:val="both"/>
        <w:rPr>
          <w:rFonts w:eastAsia="MS Mincho"/>
          <w:lang w:val="en-US" w:eastAsia="ja-JP"/>
        </w:rPr>
      </w:pPr>
      <w:r w:rsidRPr="141204DA">
        <w:rPr>
          <w:rFonts w:eastAsia="MS Mincho"/>
          <w:lang w:val="en-US" w:eastAsia="ja-JP"/>
        </w:rPr>
        <w:t>In RAN1#89 agreements, it was considered whether the RBG size can be aligned with the configuration unit of a CORESET, being 6 as part of working assumption agreed in NRAH#3 . This may be considered to allow more compatible resource allocation for PDCCH and PDSCH when they occur on the same symbol. However, 6 would not serve the purpose any more, because based on RAN1#90 agreement, the resource sharing of PDCCH and PDSCH on the same symbol can be achieved by having PDSCH rate match around the indicated control resources, aligning the RBG size with PDCCH resource allocation unit does not seem to provide any further benefit.</w:t>
      </w:r>
    </w:p>
    <w:p w14:paraId="49337345" w14:textId="4A21051B" w:rsidR="00ED721A" w:rsidRPr="00C95609" w:rsidRDefault="16512788" w:rsidP="16512788">
      <w:pPr>
        <w:rPr>
          <w:i/>
          <w:iCs/>
        </w:rPr>
      </w:pPr>
      <w:r w:rsidRPr="16512788">
        <w:rPr>
          <w:b/>
          <w:bCs/>
          <w:i/>
          <w:iCs/>
        </w:rPr>
        <w:t>Observation 1:</w:t>
      </w:r>
      <w:r w:rsidRPr="16512788">
        <w:rPr>
          <w:i/>
          <w:iCs/>
        </w:rPr>
        <w:t xml:space="preserve"> There is no obvious benefit to support RBG size of 6 given that the resource sharing of PDCCH and PDSCH on the same symbol is supported in NR.</w:t>
      </w:r>
    </w:p>
    <w:p w14:paraId="748A3B12" w14:textId="7ACCAE7A" w:rsidR="009B0DEE" w:rsidRDefault="141204DA" w:rsidP="141204DA">
      <w:pPr>
        <w:spacing w:after="120"/>
        <w:jc w:val="both"/>
        <w:rPr>
          <w:rFonts w:eastAsia="MS Mincho"/>
          <w:lang w:val="en-US" w:eastAsia="ja-JP"/>
        </w:rPr>
      </w:pPr>
      <w:r w:rsidRPr="141204DA">
        <w:rPr>
          <w:rFonts w:eastAsia="MS Mincho"/>
          <w:lang w:val="en-US" w:eastAsia="ja-JP"/>
        </w:rPr>
        <w:t>On the other hand, there is a large benefit if RBGs of different numerologies and different BWPs are nested, i.e., from a set defined by 2</w:t>
      </w:r>
      <w:r w:rsidRPr="141204DA">
        <w:rPr>
          <w:rFonts w:eastAsia="MS Mincho"/>
          <w:vertAlign w:val="superscript"/>
          <w:lang w:val="en-US" w:eastAsia="ja-JP"/>
        </w:rPr>
        <w:t>n</w:t>
      </w:r>
      <w:r w:rsidRPr="141204DA">
        <w:rPr>
          <w:rFonts w:eastAsia="MS Mincho"/>
          <w:lang w:val="en-US" w:eastAsia="ja-JP"/>
        </w:rPr>
        <w:t>, where n is positive integer. If different RBG sizes are used for different UEs, it is beneficial to have nested RBG structure to achieve better compatibility in the resource allocation and spatial multiplexing for different UEs (e.g. to avoid any residual or orphan RBs due to misalligned RBG boundaries).</w:t>
      </w:r>
    </w:p>
    <w:p w14:paraId="59E266C7" w14:textId="3F51C071" w:rsidR="00ED721A" w:rsidRPr="00F0021E" w:rsidRDefault="16512788" w:rsidP="16512788">
      <w:pPr>
        <w:spacing w:after="120"/>
        <w:jc w:val="both"/>
        <w:rPr>
          <w:rFonts w:eastAsia="MS Mincho"/>
          <w:i/>
          <w:iCs/>
          <w:lang w:eastAsia="ja-JP"/>
        </w:rPr>
      </w:pPr>
      <w:r w:rsidRPr="16512788">
        <w:rPr>
          <w:rFonts w:eastAsia="MS Mincho"/>
          <w:b/>
          <w:bCs/>
          <w:i/>
          <w:iCs/>
          <w:lang w:eastAsia="ja-JP"/>
        </w:rPr>
        <w:t>Observation 2:</w:t>
      </w:r>
      <w:r w:rsidRPr="16512788">
        <w:rPr>
          <w:rFonts w:eastAsia="MS Mincho"/>
          <w:i/>
          <w:iCs/>
          <w:lang w:eastAsia="ja-JP"/>
        </w:rPr>
        <w:t xml:space="preserve"> There are significant benefits from having RBG values nested when multiplexing UEs on different BWPs of a Network carrier.  </w:t>
      </w:r>
    </w:p>
    <w:p w14:paraId="470C9A1F" w14:textId="0009F252" w:rsidR="0053107E" w:rsidRDefault="16512788" w:rsidP="16512788">
      <w:pPr>
        <w:spacing w:after="120"/>
        <w:jc w:val="both"/>
        <w:rPr>
          <w:rFonts w:eastAsia="MS Mincho"/>
          <w:lang w:eastAsia="ja-JP"/>
        </w:rPr>
      </w:pPr>
      <w:r w:rsidRPr="16512788">
        <w:rPr>
          <w:rFonts w:eastAsia="MS Mincho"/>
          <w:lang w:eastAsia="ja-JP"/>
        </w:rPr>
        <w:t>Additionally, if a PDSCH with 1-symbol or 2-symbol duration is scheduled, RBG size of 16 could be too small, and it would be reasonable to consider larger RBG size. For URLLC, having a larger RBG size would be especially beneficial to achieve a compact DCI.</w:t>
      </w:r>
    </w:p>
    <w:p w14:paraId="3BEA95F6" w14:textId="1151BDAE" w:rsidR="00AE2BED" w:rsidRPr="00C95609" w:rsidRDefault="141204DA" w:rsidP="141204DA">
      <w:pPr>
        <w:spacing w:after="0"/>
        <w:jc w:val="both"/>
        <w:rPr>
          <w:rFonts w:eastAsia="MS Mincho"/>
          <w:i/>
          <w:iCs/>
          <w:lang w:val="en-US" w:eastAsia="ja-JP"/>
        </w:rPr>
      </w:pPr>
      <w:r w:rsidRPr="141204DA">
        <w:rPr>
          <w:rFonts w:eastAsia="MS Mincho"/>
          <w:b/>
          <w:bCs/>
          <w:i/>
          <w:iCs/>
          <w:lang w:eastAsia="ja-JP"/>
        </w:rPr>
        <w:t>Proposal 1:</w:t>
      </w:r>
      <w:r w:rsidRPr="141204DA">
        <w:rPr>
          <w:rFonts w:eastAsia="MS Mincho"/>
          <w:i/>
          <w:iCs/>
          <w:lang w:eastAsia="ja-JP"/>
        </w:rPr>
        <w:t xml:space="preserve"> The set of supported RBG sizes includes entries defined by </w:t>
      </w:r>
      <w:r w:rsidRPr="141204DA">
        <w:rPr>
          <w:rFonts w:eastAsia="MS Mincho"/>
          <w:i/>
          <w:iCs/>
          <w:lang w:val="en-US" w:eastAsia="ja-JP"/>
        </w:rPr>
        <w:t>2</w:t>
      </w:r>
      <w:r w:rsidRPr="141204DA">
        <w:rPr>
          <w:rFonts w:eastAsia="MS Mincho"/>
          <w:i/>
          <w:iCs/>
          <w:vertAlign w:val="superscript"/>
          <w:lang w:val="en-US" w:eastAsia="ja-JP"/>
        </w:rPr>
        <w:t>n</w:t>
      </w:r>
      <w:r w:rsidRPr="141204DA">
        <w:rPr>
          <w:rFonts w:eastAsia="MS Mincho"/>
          <w:i/>
          <w:iCs/>
          <w:lang w:eastAsia="ja-JP"/>
        </w:rPr>
        <w:t xml:space="preserve">, where </w:t>
      </w:r>
      <w:r w:rsidRPr="141204DA">
        <w:rPr>
          <w:rFonts w:eastAsia="MS Mincho"/>
          <w:i/>
          <w:iCs/>
          <w:lang w:val="en-US" w:eastAsia="ja-JP"/>
        </w:rPr>
        <w:t xml:space="preserve">n=[1,2,3,4] </w:t>
      </w:r>
    </w:p>
    <w:p w14:paraId="528296EF" w14:textId="0B3CDAF8" w:rsidR="007320A2" w:rsidRPr="00C95609" w:rsidRDefault="141204DA" w:rsidP="141204DA">
      <w:pPr>
        <w:pStyle w:val="ListParagraph"/>
        <w:numPr>
          <w:ilvl w:val="0"/>
          <w:numId w:val="7"/>
        </w:numPr>
        <w:spacing w:after="120"/>
        <w:jc w:val="both"/>
        <w:rPr>
          <w:rFonts w:eastAsia="MS Mincho"/>
          <w:i/>
          <w:iCs/>
          <w:lang w:val="en-US" w:eastAsia="ja-JP"/>
        </w:rPr>
      </w:pPr>
      <w:r w:rsidRPr="141204DA">
        <w:rPr>
          <w:rFonts w:eastAsia="MS Mincho"/>
          <w:i/>
          <w:iCs/>
          <w:sz w:val="20"/>
          <w:szCs w:val="20"/>
          <w:lang w:val="en-US" w:eastAsia="ja-JP"/>
        </w:rPr>
        <w:lastRenderedPageBreak/>
        <w:t>FFS on support of values n&gt;4.</w:t>
      </w:r>
    </w:p>
    <w:p w14:paraId="3B5958D0" w14:textId="77777777" w:rsidR="00593A72" w:rsidRDefault="00593A72" w:rsidP="003B3C64">
      <w:pPr>
        <w:spacing w:after="120"/>
        <w:jc w:val="both"/>
        <w:rPr>
          <w:rFonts w:eastAsia="MS Mincho"/>
          <w:lang w:eastAsia="ja-JP"/>
        </w:rPr>
      </w:pPr>
    </w:p>
    <w:p w14:paraId="06C7AAFC" w14:textId="26ADCBE0" w:rsidR="00503CF2" w:rsidRDefault="16512788" w:rsidP="16512788">
      <w:pPr>
        <w:spacing w:after="120"/>
        <w:jc w:val="both"/>
        <w:rPr>
          <w:rFonts w:eastAsia="MS Mincho"/>
          <w:lang w:eastAsia="ja-JP"/>
        </w:rPr>
      </w:pPr>
      <w:r w:rsidRPr="16512788">
        <w:rPr>
          <w:rFonts w:eastAsia="MS Mincho"/>
          <w:lang w:eastAsia="ja-JP"/>
        </w:rPr>
        <w:t>In RAN1-AH#2, a few options to decide the RBG size in the context of bandwidth parts (BWP) were discussed. We note that these options are not mutually exclusive. For example, options 3/4 can potentially be used together with options 1/2/5.</w:t>
      </w:r>
    </w:p>
    <w:p w14:paraId="07F21787" w14:textId="0B8AFF73" w:rsidR="00A33776" w:rsidRDefault="141204DA" w:rsidP="141204DA">
      <w:pPr>
        <w:spacing w:after="120"/>
        <w:jc w:val="both"/>
        <w:rPr>
          <w:rFonts w:eastAsia="MS Mincho"/>
          <w:lang w:val="en-US" w:eastAsia="ja-JP"/>
        </w:rPr>
      </w:pPr>
      <w:r w:rsidRPr="141204DA">
        <w:rPr>
          <w:rFonts w:eastAsia="MS Mincho"/>
          <w:lang w:eastAsia="ja-JP"/>
        </w:rPr>
        <w:t>When deciding</w:t>
      </w:r>
      <w:r w:rsidRPr="141204DA">
        <w:rPr>
          <w:rFonts w:eastAsia="MS Mincho"/>
          <w:lang w:val="en-US" w:eastAsia="ja-JP"/>
        </w:rPr>
        <w:t xml:space="preserve"> the RBG size for a UE, the most typical use cases for bandwidth parts include: (1) UEs can be configured with smaller BW than the BW of network carrier; (2) a UE may have multiple bandwidth parts (BWP) configured , and the bandwidth can be potentially dynamically changed.</w:t>
      </w:r>
    </w:p>
    <w:p w14:paraId="4A6C1ABF" w14:textId="17BB646A" w:rsidR="00A33776" w:rsidRDefault="141204DA" w:rsidP="141204DA">
      <w:pPr>
        <w:spacing w:after="120"/>
        <w:jc w:val="both"/>
        <w:rPr>
          <w:rFonts w:eastAsia="MS Mincho"/>
          <w:lang w:val="en-US" w:eastAsia="ja-JP"/>
        </w:rPr>
      </w:pPr>
      <w:r w:rsidRPr="141204DA">
        <w:rPr>
          <w:rFonts w:eastAsia="MS Mincho"/>
          <w:lang w:val="en-US" w:eastAsia="ja-JP"/>
        </w:rPr>
        <w:t xml:space="preserve">The desirable RBG size property is </w:t>
      </w:r>
      <w:r w:rsidRPr="141204DA">
        <w:rPr>
          <w:rFonts w:eastAsia="MS Mincho"/>
          <w:b/>
          <w:bCs/>
          <w:u w:val="single"/>
          <w:lang w:val="en-US" w:eastAsia="ja-JP"/>
        </w:rPr>
        <w:t>configurability</w:t>
      </w:r>
      <w:r w:rsidRPr="141204DA">
        <w:rPr>
          <w:rFonts w:eastAsia="MS Mincho"/>
          <w:lang w:val="en-US" w:eastAsia="ja-JP"/>
        </w:rPr>
        <w:t>. For different UEs with different bandwidth configured, the flexibility would be desirable to allow different RBG sizes for different UEs, in order to achieve the best tradeoff between DCI overhead and fine resource allocation granularity for each UE. The optimal granularity can be dependent on the load in the cell,  type of traffic the UE is receiving, configured UE bandwidth, or the length of TTIs the UE is served with.</w:t>
      </w:r>
    </w:p>
    <w:p w14:paraId="75ADE1E7" w14:textId="29868CC6" w:rsidR="00BC5670" w:rsidRPr="00F0021E" w:rsidRDefault="141204DA" w:rsidP="141204DA">
      <w:pPr>
        <w:spacing w:after="120"/>
        <w:jc w:val="both"/>
        <w:rPr>
          <w:rFonts w:eastAsia="MS Mincho"/>
          <w:i/>
          <w:iCs/>
          <w:lang w:val="en-US" w:eastAsia="ja-JP"/>
        </w:rPr>
      </w:pPr>
      <w:r w:rsidRPr="141204DA">
        <w:rPr>
          <w:rFonts w:eastAsia="MS Mincho"/>
          <w:b/>
          <w:bCs/>
          <w:i/>
          <w:iCs/>
          <w:lang w:val="en-US" w:eastAsia="ja-JP"/>
        </w:rPr>
        <w:t>Proposal 2:</w:t>
      </w:r>
      <w:r w:rsidRPr="141204DA">
        <w:rPr>
          <w:rFonts w:eastAsia="MS Mincho"/>
          <w:i/>
          <w:iCs/>
          <w:lang w:val="en-US" w:eastAsia="ja-JP"/>
        </w:rPr>
        <w:t xml:space="preserve"> The RBG size of RA type 0 is configured per BWP. </w:t>
      </w:r>
    </w:p>
    <w:p w14:paraId="0C41E5B5" w14:textId="5B05CE41" w:rsidR="00BC5670" w:rsidRDefault="141204DA" w:rsidP="141204DA">
      <w:pPr>
        <w:spacing w:after="120"/>
        <w:jc w:val="both"/>
        <w:rPr>
          <w:rFonts w:eastAsia="MS Mincho"/>
          <w:lang w:val="en-US" w:eastAsia="ja-JP"/>
        </w:rPr>
      </w:pPr>
      <w:r w:rsidRPr="141204DA">
        <w:rPr>
          <w:rFonts w:eastAsia="MS Mincho"/>
          <w:lang w:val="en-US" w:eastAsia="ja-JP"/>
        </w:rPr>
        <w:t>As a consequence of Proposal 2 is that the RA field in a DCI will be dependent on the BWP, which will result in BWP dependent size of a the configured DCI format. Therefore, it is essential that the gNB can configure the the monitoring DCI size on a search-space of each BWP in a serving cell such that it can fit the largest variant of DCI format variant among confgigured BWPs. This enabling smooth cross-BWP scheduling and reduces the number of BDs.</w:t>
      </w:r>
    </w:p>
    <w:p w14:paraId="5646085C" w14:textId="43E838B2" w:rsidR="00151011" w:rsidRPr="008C4FFA" w:rsidRDefault="141204DA" w:rsidP="141204DA">
      <w:pPr>
        <w:spacing w:after="120"/>
        <w:jc w:val="both"/>
        <w:rPr>
          <w:rFonts w:eastAsia="MS Mincho"/>
          <w:i/>
          <w:iCs/>
          <w:lang w:val="en-US" w:eastAsia="ja-JP"/>
        </w:rPr>
      </w:pPr>
      <w:r w:rsidRPr="141204DA">
        <w:rPr>
          <w:rFonts w:eastAsia="MS Mincho"/>
          <w:b/>
          <w:bCs/>
          <w:i/>
          <w:iCs/>
          <w:lang w:val="en-US" w:eastAsia="ja-JP"/>
        </w:rPr>
        <w:t>Proposal 3:</w:t>
      </w:r>
      <w:r w:rsidRPr="141204DA">
        <w:rPr>
          <w:rFonts w:eastAsia="MS Mincho"/>
          <w:i/>
          <w:iCs/>
          <w:lang w:val="en-US" w:eastAsia="ja-JP"/>
        </w:rPr>
        <w:t xml:space="preserve"> The DCI monitoring size is configured per configured search-space.</w:t>
      </w:r>
    </w:p>
    <w:p w14:paraId="112C6E21" w14:textId="767A5445" w:rsidR="00A3629E" w:rsidRPr="00C95609" w:rsidRDefault="00A3629E" w:rsidP="000717FB">
      <w:pPr>
        <w:rPr>
          <w:rFonts w:eastAsia="MS Mincho"/>
          <w:i/>
          <w:lang w:eastAsia="ja-JP"/>
        </w:rPr>
      </w:pPr>
    </w:p>
    <w:p w14:paraId="21375E9B" w14:textId="4E5BE9AF" w:rsidR="00837B90" w:rsidRDefault="00837B90" w:rsidP="141204DA">
      <w:pPr>
        <w:pStyle w:val="Heading2"/>
        <w:rPr>
          <w:lang w:val="en-US" w:eastAsia="ja-JP"/>
        </w:rPr>
      </w:pPr>
      <w:r>
        <w:rPr>
          <w:lang w:val="en-US" w:eastAsia="ja-JP"/>
        </w:rPr>
        <w:t>2.2</w:t>
      </w:r>
      <w:r>
        <w:rPr>
          <w:lang w:val="en-US" w:eastAsia="ja-JP"/>
        </w:rPr>
        <w:tab/>
      </w:r>
      <w:r w:rsidR="00D944E4">
        <w:rPr>
          <w:lang w:val="en-US" w:eastAsia="ja-JP"/>
        </w:rPr>
        <w:t>On details of UL/DL r</w:t>
      </w:r>
      <w:r>
        <w:rPr>
          <w:lang w:val="en-US" w:eastAsia="ja-JP"/>
        </w:rPr>
        <w:t xml:space="preserve">esource allocation </w:t>
      </w:r>
      <w:r w:rsidR="00D944E4">
        <w:rPr>
          <w:lang w:val="en-US" w:eastAsia="ja-JP"/>
        </w:rPr>
        <w:t>TYPE</w:t>
      </w:r>
      <w:r>
        <w:rPr>
          <w:lang w:val="en-US" w:eastAsia="ja-JP"/>
        </w:rPr>
        <w:t xml:space="preserve"> </w:t>
      </w:r>
      <w:r w:rsidR="00D944E4">
        <w:rPr>
          <w:lang w:val="en-US" w:eastAsia="ja-JP"/>
        </w:rPr>
        <w:t xml:space="preserve">1 </w:t>
      </w:r>
    </w:p>
    <w:p w14:paraId="54A9FD4D" w14:textId="16BBDA7B" w:rsidR="00A3629E" w:rsidRPr="00A6519F" w:rsidRDefault="141204DA" w:rsidP="141204DA">
      <w:pPr>
        <w:spacing w:after="120"/>
        <w:jc w:val="both"/>
        <w:rPr>
          <w:rFonts w:eastAsia="MS Mincho"/>
          <w:lang w:val="en-US" w:eastAsia="ja-JP"/>
        </w:rPr>
      </w:pPr>
      <w:r w:rsidRPr="141204DA">
        <w:rPr>
          <w:rFonts w:eastAsia="MS Mincho"/>
          <w:lang w:val="en-US" w:eastAsia="ja-JP"/>
        </w:rPr>
        <w:t>This is applicable to PDSCH and PUSCH.</w:t>
      </w:r>
    </w:p>
    <w:p w14:paraId="2CC6F8D6" w14:textId="7C5B372B" w:rsidR="00C77CA4" w:rsidRPr="006719E0" w:rsidRDefault="141204DA" w:rsidP="141204DA">
      <w:pPr>
        <w:spacing w:after="120"/>
        <w:jc w:val="both"/>
        <w:rPr>
          <w:rFonts w:eastAsia="MS Mincho"/>
          <w:lang w:val="en-US" w:eastAsia="ja-JP"/>
        </w:rPr>
      </w:pPr>
      <w:r w:rsidRPr="141204DA">
        <w:rPr>
          <w:rFonts w:eastAsia="MS Mincho"/>
          <w:lang w:val="en-US" w:eastAsia="ja-JP"/>
        </w:rPr>
        <w:t xml:space="preserve">NR RA type 1 indicates the starting virtual RB index and the number of contiguous virtual RBs (VRBs). Depending on whether the virtual RBs are localized or distributed, it can support </w:t>
      </w:r>
      <w:r w:rsidRPr="141204DA">
        <w:rPr>
          <w:rFonts w:eastAsia="MS Mincho"/>
          <w:b/>
          <w:bCs/>
          <w:lang w:val="en-US" w:eastAsia="ja-JP"/>
        </w:rPr>
        <w:t>contiguous and non-contiguous (deterministic intelace)</w:t>
      </w:r>
      <w:r w:rsidRPr="141204DA">
        <w:rPr>
          <w:rFonts w:eastAsia="MS Mincho"/>
          <w:lang w:val="en-US" w:eastAsia="ja-JP"/>
        </w:rPr>
        <w:t xml:space="preserve"> allocation. The minimum granularity is a RB. It has a smaller overhead in DCI, and is suitable for a compact DCI format.</w:t>
      </w:r>
    </w:p>
    <w:p w14:paraId="0813B52D" w14:textId="5F14AA91" w:rsidR="00B5109D" w:rsidRDefault="141204DA" w:rsidP="141204DA">
      <w:pPr>
        <w:spacing w:after="120"/>
        <w:jc w:val="both"/>
        <w:rPr>
          <w:rFonts w:eastAsia="MS Mincho"/>
          <w:lang w:val="en-US" w:eastAsia="ja-JP"/>
        </w:rPr>
      </w:pPr>
      <w:r w:rsidRPr="141204DA">
        <w:rPr>
          <w:rFonts w:eastAsia="MS Mincho"/>
          <w:lang w:val="en-US" w:eastAsia="ja-JP"/>
        </w:rPr>
        <w:t>As a simple exercise, we summarize the number of bits needed for resource allocation for type 0 and 2. In this table, we use a variation of type 2, where the granularity is a RBG instead of a RB, and the field size is calculated for different RBG sizes. It can be seen that type 2 provides a small size even when the number of PRBs is as large as 275.</w:t>
      </w:r>
    </w:p>
    <w:p w14:paraId="7034BEDB" w14:textId="36E060B5" w:rsidR="00B5109D" w:rsidRDefault="00B5109D" w:rsidP="00B510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Number of bits for resource allocation type 0/2</w:t>
      </w:r>
    </w:p>
    <w:tbl>
      <w:tblPr>
        <w:tblStyle w:val="TableGrid"/>
        <w:tblW w:w="0" w:type="auto"/>
        <w:jc w:val="center"/>
        <w:tblLook w:val="04A0" w:firstRow="1" w:lastRow="0" w:firstColumn="1" w:lastColumn="0" w:noHBand="0" w:noVBand="1"/>
      </w:tblPr>
      <w:tblGrid>
        <w:gridCol w:w="1194"/>
        <w:gridCol w:w="1053"/>
        <w:gridCol w:w="2660"/>
        <w:gridCol w:w="810"/>
        <w:gridCol w:w="810"/>
        <w:gridCol w:w="810"/>
        <w:gridCol w:w="720"/>
        <w:gridCol w:w="810"/>
      </w:tblGrid>
      <w:tr w:rsidR="00B470A7" w14:paraId="67436F09" w14:textId="77777777" w:rsidTr="16512788">
        <w:trPr>
          <w:jc w:val="center"/>
        </w:trPr>
        <w:tc>
          <w:tcPr>
            <w:tcW w:w="1194" w:type="dxa"/>
            <w:shd w:val="clear" w:color="auto" w:fill="D9D9D9" w:themeFill="background1" w:themeFillShade="D9"/>
          </w:tcPr>
          <w:p w14:paraId="39EFB613" w14:textId="346D56AB" w:rsidR="00B5109D" w:rsidRDefault="00B5109D" w:rsidP="003B3C64">
            <w:pPr>
              <w:spacing w:after="120"/>
              <w:jc w:val="both"/>
              <w:rPr>
                <w:rFonts w:eastAsia="MS Mincho"/>
                <w:lang w:val="en-US" w:eastAsia="ja-JP"/>
              </w:rPr>
            </w:pPr>
          </w:p>
        </w:tc>
        <w:tc>
          <w:tcPr>
            <w:tcW w:w="1053" w:type="dxa"/>
            <w:shd w:val="clear" w:color="auto" w:fill="D9D9D9" w:themeFill="background1" w:themeFillShade="D9"/>
          </w:tcPr>
          <w:p w14:paraId="3C28CEA5" w14:textId="57D3D93A" w:rsidR="00B5109D" w:rsidRDefault="00B5109D" w:rsidP="003B3C64">
            <w:pPr>
              <w:spacing w:after="120"/>
              <w:jc w:val="both"/>
              <w:rPr>
                <w:rFonts w:eastAsia="MS Mincho"/>
                <w:lang w:val="en-US" w:eastAsia="ja-JP"/>
              </w:rPr>
            </w:pPr>
          </w:p>
        </w:tc>
        <w:tc>
          <w:tcPr>
            <w:tcW w:w="2660" w:type="dxa"/>
            <w:shd w:val="clear" w:color="auto" w:fill="D9D9D9" w:themeFill="background1" w:themeFillShade="D9"/>
          </w:tcPr>
          <w:p w14:paraId="048C5E52" w14:textId="77777777" w:rsidR="00B5109D" w:rsidRDefault="00B5109D" w:rsidP="003B3C64">
            <w:pPr>
              <w:spacing w:after="120"/>
              <w:jc w:val="both"/>
              <w:rPr>
                <w:rFonts w:eastAsia="MS Mincho"/>
                <w:lang w:val="en-US" w:eastAsia="ja-JP"/>
              </w:rPr>
            </w:pPr>
          </w:p>
        </w:tc>
        <w:tc>
          <w:tcPr>
            <w:tcW w:w="3960" w:type="dxa"/>
            <w:gridSpan w:val="5"/>
            <w:shd w:val="clear" w:color="auto" w:fill="D9D9D9" w:themeFill="background1" w:themeFillShade="D9"/>
          </w:tcPr>
          <w:p w14:paraId="19DDA659" w14:textId="32C51EED" w:rsidR="00B5109D" w:rsidRDefault="141204DA" w:rsidP="141204DA">
            <w:pPr>
              <w:spacing w:after="120"/>
              <w:jc w:val="center"/>
              <w:rPr>
                <w:rFonts w:eastAsia="MS Mincho"/>
                <w:lang w:val="en-US" w:eastAsia="ja-JP"/>
              </w:rPr>
            </w:pPr>
            <w:r w:rsidRPr="141204DA">
              <w:rPr>
                <w:rFonts w:eastAsia="MS Mincho"/>
                <w:lang w:val="en-US" w:eastAsia="ja-JP"/>
              </w:rPr>
              <w:t>RBG size</w:t>
            </w:r>
          </w:p>
        </w:tc>
      </w:tr>
      <w:tr w:rsidR="00B5109D" w14:paraId="2D8DF29E" w14:textId="77777777" w:rsidTr="16512788">
        <w:trPr>
          <w:jc w:val="center"/>
        </w:trPr>
        <w:tc>
          <w:tcPr>
            <w:tcW w:w="1194" w:type="dxa"/>
            <w:tcBorders>
              <w:bottom w:val="single" w:sz="4" w:space="0" w:color="auto"/>
            </w:tcBorders>
            <w:shd w:val="clear" w:color="auto" w:fill="D9D9D9" w:themeFill="background1" w:themeFillShade="D9"/>
          </w:tcPr>
          <w:p w14:paraId="22E61455" w14:textId="0420BF4C" w:rsidR="00B5109D" w:rsidRDefault="141204DA" w:rsidP="141204DA">
            <w:pPr>
              <w:spacing w:after="120"/>
              <w:jc w:val="center"/>
              <w:rPr>
                <w:rFonts w:eastAsia="MS Mincho"/>
                <w:lang w:val="en-US" w:eastAsia="ja-JP"/>
              </w:rPr>
            </w:pPr>
            <w:r w:rsidRPr="141204DA">
              <w:rPr>
                <w:rFonts w:eastAsia="MS Mincho"/>
                <w:lang w:val="en-US" w:eastAsia="ja-JP"/>
              </w:rPr>
              <w:t># of SCs</w:t>
            </w:r>
          </w:p>
        </w:tc>
        <w:tc>
          <w:tcPr>
            <w:tcW w:w="1053" w:type="dxa"/>
            <w:tcBorders>
              <w:bottom w:val="single" w:sz="4" w:space="0" w:color="auto"/>
            </w:tcBorders>
            <w:shd w:val="clear" w:color="auto" w:fill="D9D9D9" w:themeFill="background1" w:themeFillShade="D9"/>
          </w:tcPr>
          <w:p w14:paraId="6FA6C669" w14:textId="703303D6" w:rsidR="00B5109D" w:rsidRDefault="141204DA" w:rsidP="141204DA">
            <w:pPr>
              <w:spacing w:after="120"/>
              <w:jc w:val="center"/>
              <w:rPr>
                <w:rFonts w:eastAsia="MS Mincho"/>
                <w:lang w:val="en-US" w:eastAsia="ja-JP"/>
              </w:rPr>
            </w:pPr>
            <w:r w:rsidRPr="141204DA">
              <w:rPr>
                <w:rFonts w:eastAsia="MS Mincho"/>
                <w:lang w:val="en-US" w:eastAsia="ja-JP"/>
              </w:rPr>
              <w:t># of PRBs</w:t>
            </w:r>
          </w:p>
        </w:tc>
        <w:tc>
          <w:tcPr>
            <w:tcW w:w="2660" w:type="dxa"/>
            <w:tcBorders>
              <w:bottom w:val="single" w:sz="4" w:space="0" w:color="auto"/>
            </w:tcBorders>
            <w:shd w:val="clear" w:color="auto" w:fill="D9D9D9" w:themeFill="background1" w:themeFillShade="D9"/>
          </w:tcPr>
          <w:p w14:paraId="6C16998F" w14:textId="77777777" w:rsidR="00B5109D" w:rsidRDefault="00B5109D" w:rsidP="003B3C64">
            <w:pPr>
              <w:spacing w:after="120"/>
              <w:jc w:val="both"/>
              <w:rPr>
                <w:rFonts w:eastAsia="MS Mincho"/>
                <w:lang w:val="en-US" w:eastAsia="ja-JP"/>
              </w:rPr>
            </w:pPr>
          </w:p>
        </w:tc>
        <w:tc>
          <w:tcPr>
            <w:tcW w:w="810" w:type="dxa"/>
            <w:tcBorders>
              <w:bottom w:val="single" w:sz="4" w:space="0" w:color="auto"/>
            </w:tcBorders>
            <w:shd w:val="clear" w:color="auto" w:fill="D9D9D9" w:themeFill="background1" w:themeFillShade="D9"/>
          </w:tcPr>
          <w:p w14:paraId="3A0E070C" w14:textId="7601222A" w:rsidR="00B5109D" w:rsidRDefault="16512788" w:rsidP="16512788">
            <w:pPr>
              <w:spacing w:after="120"/>
              <w:jc w:val="center"/>
              <w:rPr>
                <w:rFonts w:eastAsia="MS Mincho"/>
                <w:lang w:val="en-US" w:eastAsia="ja-JP"/>
              </w:rPr>
            </w:pPr>
            <w:r w:rsidRPr="16512788">
              <w:rPr>
                <w:rFonts w:eastAsia="MS Mincho"/>
                <w:lang w:val="en-US" w:eastAsia="ja-JP"/>
              </w:rPr>
              <w:t>1</w:t>
            </w:r>
          </w:p>
        </w:tc>
        <w:tc>
          <w:tcPr>
            <w:tcW w:w="810" w:type="dxa"/>
            <w:tcBorders>
              <w:bottom w:val="single" w:sz="4" w:space="0" w:color="auto"/>
            </w:tcBorders>
            <w:shd w:val="clear" w:color="auto" w:fill="D9D9D9" w:themeFill="background1" w:themeFillShade="D9"/>
          </w:tcPr>
          <w:p w14:paraId="47313A31" w14:textId="2488A516" w:rsidR="00B5109D" w:rsidRDefault="16512788" w:rsidP="16512788">
            <w:pPr>
              <w:spacing w:after="120"/>
              <w:jc w:val="center"/>
              <w:rPr>
                <w:rFonts w:eastAsia="MS Mincho"/>
                <w:lang w:val="en-US" w:eastAsia="ja-JP"/>
              </w:rPr>
            </w:pPr>
            <w:r w:rsidRPr="16512788">
              <w:rPr>
                <w:rFonts w:eastAsia="MS Mincho"/>
                <w:lang w:val="en-US" w:eastAsia="ja-JP"/>
              </w:rPr>
              <w:t>2</w:t>
            </w:r>
          </w:p>
        </w:tc>
        <w:tc>
          <w:tcPr>
            <w:tcW w:w="810" w:type="dxa"/>
            <w:shd w:val="clear" w:color="auto" w:fill="D9D9D9" w:themeFill="background1" w:themeFillShade="D9"/>
          </w:tcPr>
          <w:p w14:paraId="469233AE" w14:textId="29321256" w:rsidR="00B5109D" w:rsidRDefault="16512788" w:rsidP="16512788">
            <w:pPr>
              <w:spacing w:after="120"/>
              <w:jc w:val="center"/>
              <w:rPr>
                <w:rFonts w:eastAsia="MS Mincho"/>
                <w:lang w:val="en-US" w:eastAsia="ja-JP"/>
              </w:rPr>
            </w:pPr>
            <w:r w:rsidRPr="16512788">
              <w:rPr>
                <w:rFonts w:eastAsia="MS Mincho"/>
                <w:lang w:val="en-US" w:eastAsia="ja-JP"/>
              </w:rPr>
              <w:t>4</w:t>
            </w:r>
          </w:p>
        </w:tc>
        <w:tc>
          <w:tcPr>
            <w:tcW w:w="720" w:type="dxa"/>
            <w:shd w:val="clear" w:color="auto" w:fill="D9D9D9" w:themeFill="background1" w:themeFillShade="D9"/>
          </w:tcPr>
          <w:p w14:paraId="71D577CB" w14:textId="00F642D1" w:rsidR="00B5109D" w:rsidRDefault="16512788" w:rsidP="16512788">
            <w:pPr>
              <w:spacing w:after="120"/>
              <w:jc w:val="center"/>
              <w:rPr>
                <w:rFonts w:eastAsia="MS Mincho"/>
                <w:lang w:val="en-US" w:eastAsia="ja-JP"/>
              </w:rPr>
            </w:pPr>
            <w:r w:rsidRPr="16512788">
              <w:rPr>
                <w:rFonts w:eastAsia="MS Mincho"/>
                <w:lang w:val="en-US" w:eastAsia="ja-JP"/>
              </w:rPr>
              <w:t>8</w:t>
            </w:r>
          </w:p>
        </w:tc>
        <w:tc>
          <w:tcPr>
            <w:tcW w:w="810" w:type="dxa"/>
            <w:shd w:val="clear" w:color="auto" w:fill="D9D9D9" w:themeFill="background1" w:themeFillShade="D9"/>
          </w:tcPr>
          <w:p w14:paraId="2561A1EE" w14:textId="4DAA4998" w:rsidR="00B5109D" w:rsidRDefault="16512788" w:rsidP="16512788">
            <w:pPr>
              <w:spacing w:after="120"/>
              <w:jc w:val="center"/>
              <w:rPr>
                <w:rFonts w:eastAsia="MS Mincho"/>
                <w:lang w:val="en-US" w:eastAsia="ja-JP"/>
              </w:rPr>
            </w:pPr>
            <w:r w:rsidRPr="16512788">
              <w:rPr>
                <w:rFonts w:eastAsia="MS Mincho"/>
                <w:lang w:val="en-US" w:eastAsia="ja-JP"/>
              </w:rPr>
              <w:t>16</w:t>
            </w:r>
          </w:p>
        </w:tc>
      </w:tr>
      <w:tr w:rsidR="00B5109D" w14:paraId="3A71B821" w14:textId="77777777" w:rsidTr="16512788">
        <w:trPr>
          <w:jc w:val="center"/>
        </w:trPr>
        <w:tc>
          <w:tcPr>
            <w:tcW w:w="1194" w:type="dxa"/>
            <w:vMerge w:val="restart"/>
            <w:shd w:val="clear" w:color="auto" w:fill="D9D9D9" w:themeFill="background1" w:themeFillShade="D9"/>
            <w:vAlign w:val="center"/>
          </w:tcPr>
          <w:p w14:paraId="210789C8" w14:textId="4C1C80B3" w:rsidR="00B5109D" w:rsidRDefault="16512788" w:rsidP="16512788">
            <w:pPr>
              <w:spacing w:after="120"/>
              <w:jc w:val="center"/>
              <w:rPr>
                <w:rFonts w:eastAsia="MS Mincho"/>
                <w:lang w:val="en-US" w:eastAsia="ja-JP"/>
              </w:rPr>
            </w:pPr>
            <w:r w:rsidRPr="16512788">
              <w:rPr>
                <w:rFonts w:eastAsia="MS Mincho"/>
                <w:lang w:val="en-US" w:eastAsia="ja-JP"/>
              </w:rPr>
              <w:t>1200</w:t>
            </w:r>
          </w:p>
        </w:tc>
        <w:tc>
          <w:tcPr>
            <w:tcW w:w="1053" w:type="dxa"/>
            <w:vMerge w:val="restart"/>
            <w:shd w:val="clear" w:color="auto" w:fill="D9D9D9" w:themeFill="background1" w:themeFillShade="D9"/>
            <w:vAlign w:val="center"/>
          </w:tcPr>
          <w:p w14:paraId="393D8B82" w14:textId="00283F41" w:rsidR="00B5109D" w:rsidRDefault="16512788" w:rsidP="16512788">
            <w:pPr>
              <w:spacing w:after="120"/>
              <w:jc w:val="center"/>
              <w:rPr>
                <w:rFonts w:eastAsia="MS Mincho"/>
                <w:lang w:val="en-US" w:eastAsia="ja-JP"/>
              </w:rPr>
            </w:pPr>
            <w:r w:rsidRPr="16512788">
              <w:rPr>
                <w:rFonts w:eastAsia="MS Mincho"/>
                <w:lang w:val="en-US" w:eastAsia="ja-JP"/>
              </w:rPr>
              <w:t>100</w:t>
            </w:r>
          </w:p>
        </w:tc>
        <w:tc>
          <w:tcPr>
            <w:tcW w:w="2660" w:type="dxa"/>
            <w:shd w:val="clear" w:color="auto" w:fill="D9D9D9" w:themeFill="background1" w:themeFillShade="D9"/>
          </w:tcPr>
          <w:p w14:paraId="091DC981" w14:textId="58EAC609" w:rsidR="00B5109D" w:rsidRDefault="141204DA" w:rsidP="141204DA">
            <w:pPr>
              <w:spacing w:after="120"/>
              <w:jc w:val="both"/>
              <w:rPr>
                <w:rFonts w:eastAsia="MS Mincho"/>
                <w:lang w:val="en-US" w:eastAsia="ja-JP"/>
              </w:rPr>
            </w:pPr>
            <w:r w:rsidRPr="141204DA">
              <w:rPr>
                <w:rFonts w:eastAsia="MS Mincho"/>
                <w:lang w:val="en-US" w:eastAsia="ja-JP"/>
              </w:rPr>
              <w:t>Type 0</w:t>
            </w:r>
          </w:p>
        </w:tc>
        <w:tc>
          <w:tcPr>
            <w:tcW w:w="810" w:type="dxa"/>
            <w:shd w:val="clear" w:color="auto" w:fill="A6A6A6" w:themeFill="background1" w:themeFillShade="A6"/>
          </w:tcPr>
          <w:p w14:paraId="56C81415" w14:textId="3FD7BFA2" w:rsidR="00B5109D" w:rsidRPr="006A5474" w:rsidRDefault="16512788" w:rsidP="16512788">
            <w:pPr>
              <w:spacing w:after="120"/>
              <w:jc w:val="center"/>
              <w:rPr>
                <w:rFonts w:eastAsia="MS Mincho"/>
                <w:lang w:val="en-US" w:eastAsia="ja-JP"/>
              </w:rPr>
            </w:pPr>
            <w:r w:rsidRPr="16512788">
              <w:rPr>
                <w:rFonts w:eastAsia="MS Mincho"/>
                <w:lang w:val="en-US" w:eastAsia="ja-JP"/>
              </w:rPr>
              <w:t>100</w:t>
            </w:r>
          </w:p>
        </w:tc>
        <w:tc>
          <w:tcPr>
            <w:tcW w:w="810" w:type="dxa"/>
            <w:shd w:val="clear" w:color="auto" w:fill="A6A6A6" w:themeFill="background1" w:themeFillShade="A6"/>
          </w:tcPr>
          <w:p w14:paraId="54B748A3" w14:textId="65AED93E" w:rsidR="00B5109D" w:rsidRPr="00EC4904" w:rsidRDefault="16512788" w:rsidP="16512788">
            <w:pPr>
              <w:spacing w:after="120"/>
              <w:jc w:val="center"/>
              <w:rPr>
                <w:rFonts w:eastAsia="MS Mincho"/>
                <w:lang w:val="en-US" w:eastAsia="ja-JP"/>
              </w:rPr>
            </w:pPr>
            <w:r w:rsidRPr="16512788">
              <w:rPr>
                <w:rFonts w:eastAsia="MS Mincho"/>
                <w:lang w:val="en-US" w:eastAsia="ja-JP"/>
              </w:rPr>
              <w:t>50</w:t>
            </w:r>
          </w:p>
        </w:tc>
        <w:tc>
          <w:tcPr>
            <w:tcW w:w="810" w:type="dxa"/>
          </w:tcPr>
          <w:p w14:paraId="166A7B58" w14:textId="1464B820" w:rsidR="00B5109D" w:rsidRPr="002C770F" w:rsidRDefault="16512788" w:rsidP="16512788">
            <w:pPr>
              <w:spacing w:after="120"/>
              <w:jc w:val="center"/>
              <w:rPr>
                <w:rFonts w:eastAsia="MS Mincho"/>
                <w:lang w:val="en-US" w:eastAsia="ja-JP"/>
              </w:rPr>
            </w:pPr>
            <w:r w:rsidRPr="16512788">
              <w:rPr>
                <w:rFonts w:eastAsia="MS Mincho"/>
                <w:lang w:val="en-US" w:eastAsia="ja-JP"/>
              </w:rPr>
              <w:t>25</w:t>
            </w:r>
          </w:p>
        </w:tc>
        <w:tc>
          <w:tcPr>
            <w:tcW w:w="720" w:type="dxa"/>
          </w:tcPr>
          <w:p w14:paraId="0E0AA88D" w14:textId="3168C427" w:rsidR="00B5109D" w:rsidRPr="006A5474" w:rsidRDefault="16512788" w:rsidP="16512788">
            <w:pPr>
              <w:spacing w:after="120"/>
              <w:jc w:val="center"/>
              <w:rPr>
                <w:rFonts w:eastAsia="MS Mincho"/>
                <w:lang w:val="en-US" w:eastAsia="ja-JP"/>
              </w:rPr>
            </w:pPr>
            <w:r w:rsidRPr="16512788">
              <w:rPr>
                <w:rFonts w:eastAsia="MS Mincho"/>
                <w:lang w:val="en-US" w:eastAsia="ja-JP"/>
              </w:rPr>
              <w:t>13</w:t>
            </w:r>
          </w:p>
        </w:tc>
        <w:tc>
          <w:tcPr>
            <w:tcW w:w="810" w:type="dxa"/>
          </w:tcPr>
          <w:p w14:paraId="49F0EAEF" w14:textId="1B39CEA2" w:rsidR="00B5109D" w:rsidRPr="00EC4904" w:rsidRDefault="16512788" w:rsidP="16512788">
            <w:pPr>
              <w:spacing w:after="120"/>
              <w:jc w:val="center"/>
              <w:rPr>
                <w:rFonts w:eastAsia="MS Mincho"/>
                <w:lang w:val="en-US" w:eastAsia="ja-JP"/>
              </w:rPr>
            </w:pPr>
            <w:r w:rsidRPr="16512788">
              <w:rPr>
                <w:rFonts w:eastAsia="MS Mincho"/>
                <w:lang w:val="en-US" w:eastAsia="ja-JP"/>
              </w:rPr>
              <w:t>7</w:t>
            </w:r>
          </w:p>
        </w:tc>
      </w:tr>
      <w:tr w:rsidR="00B5109D" w14:paraId="6952A84A" w14:textId="77777777" w:rsidTr="16512788">
        <w:trPr>
          <w:jc w:val="center"/>
        </w:trPr>
        <w:tc>
          <w:tcPr>
            <w:tcW w:w="1194" w:type="dxa"/>
            <w:vMerge/>
            <w:shd w:val="clear" w:color="auto" w:fill="D9D9D9" w:themeFill="background1" w:themeFillShade="D9"/>
          </w:tcPr>
          <w:p w14:paraId="37B193A5"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3279E99F" w14:textId="77777777"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0A0459F3" w14:textId="3EDAA306" w:rsidR="00B5109D" w:rsidRDefault="141204DA" w:rsidP="141204DA">
            <w:pPr>
              <w:spacing w:after="120"/>
              <w:jc w:val="both"/>
              <w:rPr>
                <w:rFonts w:eastAsia="MS Mincho"/>
                <w:lang w:val="en-US" w:eastAsia="ja-JP"/>
              </w:rPr>
            </w:pPr>
            <w:r w:rsidRPr="141204DA">
              <w:rPr>
                <w:rFonts w:eastAsia="MS Mincho"/>
                <w:lang w:val="en-US" w:eastAsia="ja-JP"/>
              </w:rPr>
              <w:t>Type 2 with RBG granularity</w:t>
            </w:r>
          </w:p>
        </w:tc>
        <w:tc>
          <w:tcPr>
            <w:tcW w:w="810" w:type="dxa"/>
            <w:tcBorders>
              <w:bottom w:val="single" w:sz="4" w:space="0" w:color="auto"/>
            </w:tcBorders>
          </w:tcPr>
          <w:p w14:paraId="63FB62F1" w14:textId="34C6908F" w:rsidR="00B5109D" w:rsidRPr="006A5474" w:rsidRDefault="16512788" w:rsidP="16512788">
            <w:pPr>
              <w:spacing w:after="120"/>
              <w:jc w:val="center"/>
              <w:rPr>
                <w:rFonts w:eastAsia="MS Mincho"/>
                <w:lang w:val="en-US" w:eastAsia="ja-JP"/>
              </w:rPr>
            </w:pPr>
            <w:r w:rsidRPr="16512788">
              <w:rPr>
                <w:rFonts w:eastAsia="MS Mincho"/>
                <w:lang w:val="en-US" w:eastAsia="ja-JP"/>
              </w:rPr>
              <w:t>13</w:t>
            </w:r>
          </w:p>
        </w:tc>
        <w:tc>
          <w:tcPr>
            <w:tcW w:w="810" w:type="dxa"/>
            <w:tcBorders>
              <w:bottom w:val="single" w:sz="4" w:space="0" w:color="auto"/>
            </w:tcBorders>
          </w:tcPr>
          <w:p w14:paraId="3E0FA313" w14:textId="035D6935" w:rsidR="00B5109D" w:rsidRPr="00EC4904" w:rsidRDefault="16512788" w:rsidP="16512788">
            <w:pPr>
              <w:spacing w:after="120"/>
              <w:jc w:val="center"/>
              <w:rPr>
                <w:rFonts w:eastAsia="MS Mincho"/>
                <w:lang w:val="en-US" w:eastAsia="ja-JP"/>
              </w:rPr>
            </w:pPr>
            <w:r w:rsidRPr="16512788">
              <w:rPr>
                <w:rFonts w:eastAsia="MS Mincho"/>
                <w:lang w:val="en-US" w:eastAsia="ja-JP"/>
              </w:rPr>
              <w:t>11</w:t>
            </w:r>
          </w:p>
        </w:tc>
        <w:tc>
          <w:tcPr>
            <w:tcW w:w="810" w:type="dxa"/>
            <w:tcBorders>
              <w:bottom w:val="single" w:sz="4" w:space="0" w:color="auto"/>
            </w:tcBorders>
          </w:tcPr>
          <w:p w14:paraId="78EFDC7A" w14:textId="6B000AC2" w:rsidR="00B5109D" w:rsidRPr="002C770F" w:rsidRDefault="16512788" w:rsidP="16512788">
            <w:pPr>
              <w:spacing w:after="120"/>
              <w:jc w:val="center"/>
              <w:rPr>
                <w:rFonts w:eastAsia="MS Mincho"/>
                <w:lang w:val="en-US" w:eastAsia="ja-JP"/>
              </w:rPr>
            </w:pPr>
            <w:r w:rsidRPr="16512788">
              <w:rPr>
                <w:rFonts w:eastAsia="MS Mincho"/>
                <w:lang w:val="en-US" w:eastAsia="ja-JP"/>
              </w:rPr>
              <w:t>9</w:t>
            </w:r>
          </w:p>
        </w:tc>
        <w:tc>
          <w:tcPr>
            <w:tcW w:w="720" w:type="dxa"/>
          </w:tcPr>
          <w:p w14:paraId="24EA2697" w14:textId="7BA99F52" w:rsidR="00B5109D" w:rsidRPr="00EF54D1" w:rsidRDefault="16512788" w:rsidP="16512788">
            <w:pPr>
              <w:spacing w:after="120"/>
              <w:jc w:val="center"/>
              <w:rPr>
                <w:rFonts w:eastAsia="MS Mincho"/>
                <w:lang w:val="en-US" w:eastAsia="ja-JP"/>
              </w:rPr>
            </w:pPr>
            <w:r w:rsidRPr="16512788">
              <w:rPr>
                <w:rFonts w:eastAsia="MS Mincho"/>
                <w:lang w:val="en-US" w:eastAsia="ja-JP"/>
              </w:rPr>
              <w:t>7</w:t>
            </w:r>
          </w:p>
        </w:tc>
        <w:tc>
          <w:tcPr>
            <w:tcW w:w="810" w:type="dxa"/>
          </w:tcPr>
          <w:p w14:paraId="45D7227B" w14:textId="35520DE4" w:rsidR="00B5109D" w:rsidRPr="006A5474" w:rsidRDefault="16512788" w:rsidP="16512788">
            <w:pPr>
              <w:spacing w:after="120"/>
              <w:jc w:val="center"/>
              <w:rPr>
                <w:rFonts w:eastAsia="MS Mincho"/>
                <w:lang w:val="en-US" w:eastAsia="ja-JP"/>
              </w:rPr>
            </w:pPr>
            <w:r w:rsidRPr="16512788">
              <w:rPr>
                <w:rFonts w:eastAsia="MS Mincho"/>
                <w:lang w:val="en-US" w:eastAsia="ja-JP"/>
              </w:rPr>
              <w:t>5</w:t>
            </w:r>
          </w:p>
        </w:tc>
      </w:tr>
      <w:tr w:rsidR="00B5109D" w14:paraId="52B18DA7" w14:textId="77777777" w:rsidTr="16512788">
        <w:trPr>
          <w:jc w:val="center"/>
        </w:trPr>
        <w:tc>
          <w:tcPr>
            <w:tcW w:w="1194" w:type="dxa"/>
            <w:vMerge w:val="restart"/>
            <w:shd w:val="clear" w:color="auto" w:fill="D9D9D9" w:themeFill="background1" w:themeFillShade="D9"/>
            <w:vAlign w:val="center"/>
          </w:tcPr>
          <w:p w14:paraId="1A6FC2A4" w14:textId="02590E1D" w:rsidR="00B5109D" w:rsidRDefault="16512788" w:rsidP="16512788">
            <w:pPr>
              <w:spacing w:after="120"/>
              <w:jc w:val="center"/>
              <w:rPr>
                <w:rFonts w:eastAsia="MS Mincho"/>
                <w:lang w:val="en-US" w:eastAsia="ja-JP"/>
              </w:rPr>
            </w:pPr>
            <w:r w:rsidRPr="16512788">
              <w:rPr>
                <w:rFonts w:eastAsia="MS Mincho"/>
                <w:lang w:val="en-US" w:eastAsia="ja-JP"/>
              </w:rPr>
              <w:t>3300</w:t>
            </w:r>
          </w:p>
        </w:tc>
        <w:tc>
          <w:tcPr>
            <w:tcW w:w="1053" w:type="dxa"/>
            <w:vMerge w:val="restart"/>
            <w:shd w:val="clear" w:color="auto" w:fill="D9D9D9" w:themeFill="background1" w:themeFillShade="D9"/>
            <w:vAlign w:val="center"/>
          </w:tcPr>
          <w:p w14:paraId="4C8ADB0E" w14:textId="7EFB52C2" w:rsidR="00B5109D" w:rsidRDefault="16512788" w:rsidP="16512788">
            <w:pPr>
              <w:spacing w:after="120"/>
              <w:jc w:val="center"/>
              <w:rPr>
                <w:rFonts w:eastAsia="MS Mincho"/>
                <w:lang w:val="en-US" w:eastAsia="ja-JP"/>
              </w:rPr>
            </w:pPr>
            <w:r w:rsidRPr="16512788">
              <w:rPr>
                <w:rFonts w:eastAsia="MS Mincho"/>
                <w:lang w:val="en-US" w:eastAsia="ja-JP"/>
              </w:rPr>
              <w:t>275</w:t>
            </w:r>
          </w:p>
        </w:tc>
        <w:tc>
          <w:tcPr>
            <w:tcW w:w="2660" w:type="dxa"/>
            <w:shd w:val="clear" w:color="auto" w:fill="D9D9D9" w:themeFill="background1" w:themeFillShade="D9"/>
          </w:tcPr>
          <w:p w14:paraId="06027AE3" w14:textId="41BC2FA5" w:rsidR="00B5109D" w:rsidRDefault="141204DA" w:rsidP="141204DA">
            <w:pPr>
              <w:spacing w:after="120"/>
              <w:jc w:val="both"/>
              <w:rPr>
                <w:rFonts w:eastAsia="MS Mincho"/>
                <w:lang w:val="en-US" w:eastAsia="ja-JP"/>
              </w:rPr>
            </w:pPr>
            <w:r w:rsidRPr="141204DA">
              <w:rPr>
                <w:rFonts w:eastAsia="MS Mincho"/>
                <w:lang w:val="en-US" w:eastAsia="ja-JP"/>
              </w:rPr>
              <w:t>Type 0</w:t>
            </w:r>
          </w:p>
        </w:tc>
        <w:tc>
          <w:tcPr>
            <w:tcW w:w="810" w:type="dxa"/>
            <w:shd w:val="clear" w:color="auto" w:fill="A6A6A6" w:themeFill="background1" w:themeFillShade="A6"/>
          </w:tcPr>
          <w:p w14:paraId="2830FEEE" w14:textId="365942D9" w:rsidR="00B5109D" w:rsidRPr="006A5474" w:rsidRDefault="16512788" w:rsidP="16512788">
            <w:pPr>
              <w:spacing w:after="120"/>
              <w:jc w:val="center"/>
              <w:rPr>
                <w:rFonts w:eastAsia="MS Mincho"/>
                <w:lang w:val="en-US" w:eastAsia="ja-JP"/>
              </w:rPr>
            </w:pPr>
            <w:r w:rsidRPr="16512788">
              <w:rPr>
                <w:rFonts w:eastAsia="MS Mincho"/>
                <w:lang w:val="en-US" w:eastAsia="ja-JP"/>
              </w:rPr>
              <w:t>275</w:t>
            </w:r>
          </w:p>
        </w:tc>
        <w:tc>
          <w:tcPr>
            <w:tcW w:w="810" w:type="dxa"/>
            <w:shd w:val="clear" w:color="auto" w:fill="A6A6A6" w:themeFill="background1" w:themeFillShade="A6"/>
          </w:tcPr>
          <w:p w14:paraId="7AB0A73B" w14:textId="570E42AF" w:rsidR="00B5109D" w:rsidRPr="00EC4904" w:rsidRDefault="16512788" w:rsidP="16512788">
            <w:pPr>
              <w:spacing w:after="120"/>
              <w:jc w:val="center"/>
              <w:rPr>
                <w:rFonts w:eastAsia="MS Mincho"/>
                <w:lang w:val="en-US" w:eastAsia="ja-JP"/>
              </w:rPr>
            </w:pPr>
            <w:r w:rsidRPr="16512788">
              <w:rPr>
                <w:rFonts w:eastAsia="MS Mincho"/>
                <w:lang w:val="en-US" w:eastAsia="ja-JP"/>
              </w:rPr>
              <w:t>138</w:t>
            </w:r>
          </w:p>
        </w:tc>
        <w:tc>
          <w:tcPr>
            <w:tcW w:w="810" w:type="dxa"/>
            <w:shd w:val="clear" w:color="auto" w:fill="A6A6A6" w:themeFill="background1" w:themeFillShade="A6"/>
          </w:tcPr>
          <w:p w14:paraId="660C7A2B" w14:textId="67AA0389" w:rsidR="00B5109D" w:rsidRPr="002C770F" w:rsidRDefault="16512788" w:rsidP="16512788">
            <w:pPr>
              <w:spacing w:after="120"/>
              <w:jc w:val="center"/>
              <w:rPr>
                <w:rFonts w:eastAsia="MS Mincho"/>
                <w:lang w:val="en-US" w:eastAsia="ja-JP"/>
              </w:rPr>
            </w:pPr>
            <w:r w:rsidRPr="16512788">
              <w:rPr>
                <w:rFonts w:eastAsia="MS Mincho"/>
                <w:lang w:val="en-US" w:eastAsia="ja-JP"/>
              </w:rPr>
              <w:t>69</w:t>
            </w:r>
          </w:p>
        </w:tc>
        <w:tc>
          <w:tcPr>
            <w:tcW w:w="720" w:type="dxa"/>
          </w:tcPr>
          <w:p w14:paraId="07B7A7A7" w14:textId="12A82FF7" w:rsidR="00B5109D" w:rsidRPr="00EF54D1" w:rsidRDefault="16512788" w:rsidP="16512788">
            <w:pPr>
              <w:spacing w:after="120"/>
              <w:jc w:val="center"/>
              <w:rPr>
                <w:rFonts w:eastAsia="MS Mincho"/>
                <w:lang w:val="en-US" w:eastAsia="ja-JP"/>
              </w:rPr>
            </w:pPr>
            <w:r w:rsidRPr="16512788">
              <w:rPr>
                <w:rFonts w:eastAsia="MS Mincho"/>
                <w:lang w:val="en-US" w:eastAsia="ja-JP"/>
              </w:rPr>
              <w:t>35</w:t>
            </w:r>
          </w:p>
        </w:tc>
        <w:tc>
          <w:tcPr>
            <w:tcW w:w="810" w:type="dxa"/>
          </w:tcPr>
          <w:p w14:paraId="2BA777F4" w14:textId="3F7B6E61" w:rsidR="00B5109D" w:rsidRPr="006A5474" w:rsidRDefault="16512788" w:rsidP="16512788">
            <w:pPr>
              <w:spacing w:after="120"/>
              <w:jc w:val="center"/>
              <w:rPr>
                <w:rFonts w:eastAsia="MS Mincho"/>
                <w:lang w:val="en-US" w:eastAsia="ja-JP"/>
              </w:rPr>
            </w:pPr>
            <w:r w:rsidRPr="16512788">
              <w:rPr>
                <w:rFonts w:eastAsia="MS Mincho"/>
                <w:lang w:val="en-US" w:eastAsia="ja-JP"/>
              </w:rPr>
              <w:t>18</w:t>
            </w:r>
          </w:p>
        </w:tc>
      </w:tr>
      <w:tr w:rsidR="00B5109D" w14:paraId="5EBC273D" w14:textId="77777777" w:rsidTr="16512788">
        <w:trPr>
          <w:jc w:val="center"/>
        </w:trPr>
        <w:tc>
          <w:tcPr>
            <w:tcW w:w="1194" w:type="dxa"/>
            <w:vMerge/>
            <w:shd w:val="clear" w:color="auto" w:fill="D9D9D9" w:themeFill="background1" w:themeFillShade="D9"/>
          </w:tcPr>
          <w:p w14:paraId="00941A7C"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4CC8C037" w14:textId="0256E394"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4C82EE86" w14:textId="3BFEE880" w:rsidR="00B5109D" w:rsidRDefault="141204DA" w:rsidP="141204DA">
            <w:pPr>
              <w:spacing w:after="120"/>
              <w:jc w:val="both"/>
              <w:rPr>
                <w:rFonts w:eastAsia="MS Mincho"/>
                <w:lang w:val="en-US" w:eastAsia="ja-JP"/>
              </w:rPr>
            </w:pPr>
            <w:r w:rsidRPr="141204DA">
              <w:rPr>
                <w:rFonts w:eastAsia="MS Mincho"/>
                <w:lang w:val="en-US" w:eastAsia="ja-JP"/>
              </w:rPr>
              <w:t>Type 2 with RBG granularity</w:t>
            </w:r>
          </w:p>
        </w:tc>
        <w:tc>
          <w:tcPr>
            <w:tcW w:w="810" w:type="dxa"/>
            <w:tcBorders>
              <w:bottom w:val="single" w:sz="4" w:space="0" w:color="auto"/>
            </w:tcBorders>
          </w:tcPr>
          <w:p w14:paraId="5605693D" w14:textId="4D127C44" w:rsidR="00B5109D" w:rsidRPr="006A5474" w:rsidRDefault="16512788" w:rsidP="16512788">
            <w:pPr>
              <w:spacing w:after="120"/>
              <w:jc w:val="center"/>
              <w:rPr>
                <w:rFonts w:eastAsia="MS Mincho"/>
                <w:lang w:val="en-US" w:eastAsia="ja-JP"/>
              </w:rPr>
            </w:pPr>
            <w:r w:rsidRPr="16512788">
              <w:rPr>
                <w:rFonts w:eastAsia="MS Mincho"/>
                <w:lang w:val="en-US" w:eastAsia="ja-JP"/>
              </w:rPr>
              <w:t>16</w:t>
            </w:r>
          </w:p>
        </w:tc>
        <w:tc>
          <w:tcPr>
            <w:tcW w:w="810" w:type="dxa"/>
            <w:tcBorders>
              <w:bottom w:val="single" w:sz="4" w:space="0" w:color="auto"/>
            </w:tcBorders>
          </w:tcPr>
          <w:p w14:paraId="28A32BD8" w14:textId="0A049FF8" w:rsidR="00B5109D" w:rsidRPr="00EC4904" w:rsidRDefault="16512788" w:rsidP="16512788">
            <w:pPr>
              <w:spacing w:after="120"/>
              <w:jc w:val="center"/>
              <w:rPr>
                <w:rFonts w:eastAsia="MS Mincho"/>
                <w:lang w:val="en-US" w:eastAsia="ja-JP"/>
              </w:rPr>
            </w:pPr>
            <w:r w:rsidRPr="16512788">
              <w:rPr>
                <w:rFonts w:eastAsia="MS Mincho"/>
                <w:lang w:val="en-US" w:eastAsia="ja-JP"/>
              </w:rPr>
              <w:t>14</w:t>
            </w:r>
          </w:p>
        </w:tc>
        <w:tc>
          <w:tcPr>
            <w:tcW w:w="810" w:type="dxa"/>
            <w:tcBorders>
              <w:bottom w:val="single" w:sz="4" w:space="0" w:color="auto"/>
            </w:tcBorders>
          </w:tcPr>
          <w:p w14:paraId="16D5B96A" w14:textId="497F64D1" w:rsidR="00B5109D" w:rsidRPr="002C770F" w:rsidRDefault="16512788" w:rsidP="16512788">
            <w:pPr>
              <w:spacing w:after="120"/>
              <w:jc w:val="center"/>
              <w:rPr>
                <w:rFonts w:eastAsia="MS Mincho"/>
                <w:lang w:val="en-US" w:eastAsia="ja-JP"/>
              </w:rPr>
            </w:pPr>
            <w:r w:rsidRPr="16512788">
              <w:rPr>
                <w:rFonts w:eastAsia="MS Mincho"/>
                <w:lang w:val="en-US" w:eastAsia="ja-JP"/>
              </w:rPr>
              <w:t>12</w:t>
            </w:r>
          </w:p>
        </w:tc>
        <w:tc>
          <w:tcPr>
            <w:tcW w:w="720" w:type="dxa"/>
            <w:tcBorders>
              <w:bottom w:val="single" w:sz="4" w:space="0" w:color="auto"/>
            </w:tcBorders>
          </w:tcPr>
          <w:p w14:paraId="2036D6F9" w14:textId="00FA9A7D" w:rsidR="00B5109D" w:rsidRPr="00EF54D1" w:rsidRDefault="16512788" w:rsidP="16512788">
            <w:pPr>
              <w:spacing w:after="120"/>
              <w:jc w:val="center"/>
              <w:rPr>
                <w:rFonts w:eastAsia="MS Mincho"/>
                <w:lang w:val="en-US" w:eastAsia="ja-JP"/>
              </w:rPr>
            </w:pPr>
            <w:r w:rsidRPr="16512788">
              <w:rPr>
                <w:rFonts w:eastAsia="MS Mincho"/>
                <w:lang w:val="en-US" w:eastAsia="ja-JP"/>
              </w:rPr>
              <w:t>10</w:t>
            </w:r>
          </w:p>
        </w:tc>
        <w:tc>
          <w:tcPr>
            <w:tcW w:w="810" w:type="dxa"/>
          </w:tcPr>
          <w:p w14:paraId="72E1E286" w14:textId="77D35C6A" w:rsidR="00B5109D" w:rsidRPr="006A5474" w:rsidRDefault="16512788" w:rsidP="16512788">
            <w:pPr>
              <w:spacing w:after="120"/>
              <w:jc w:val="center"/>
              <w:rPr>
                <w:rFonts w:eastAsia="MS Mincho"/>
                <w:lang w:val="en-US" w:eastAsia="ja-JP"/>
              </w:rPr>
            </w:pPr>
            <w:r w:rsidRPr="16512788">
              <w:rPr>
                <w:rFonts w:eastAsia="MS Mincho"/>
                <w:lang w:val="en-US" w:eastAsia="ja-JP"/>
              </w:rPr>
              <w:t>8</w:t>
            </w:r>
          </w:p>
        </w:tc>
      </w:tr>
    </w:tbl>
    <w:p w14:paraId="43F71BFF" w14:textId="77777777" w:rsidR="00B5109D" w:rsidRDefault="00B5109D" w:rsidP="003B3C64">
      <w:pPr>
        <w:spacing w:after="120"/>
        <w:jc w:val="both"/>
        <w:rPr>
          <w:rFonts w:eastAsia="MS Mincho"/>
          <w:lang w:val="en-US" w:eastAsia="ja-JP"/>
        </w:rPr>
      </w:pPr>
    </w:p>
    <w:p w14:paraId="6AC5D6AF" w14:textId="77777777" w:rsidR="00B96413" w:rsidRDefault="141204DA" w:rsidP="141204DA">
      <w:pPr>
        <w:spacing w:after="120"/>
        <w:jc w:val="both"/>
        <w:rPr>
          <w:rFonts w:eastAsia="MS Mincho"/>
          <w:lang w:val="en-US" w:eastAsia="ja-JP"/>
        </w:rPr>
      </w:pPr>
      <w:r w:rsidRPr="141204DA">
        <w:rPr>
          <w:rFonts w:eastAsia="MS Mincho"/>
          <w:lang w:val="en-US" w:eastAsia="ja-JP"/>
        </w:rPr>
        <w:t xml:space="preserve">In typical cases, there does not seem to be a strong need to support a RBG size of more than one PRB, as the RA field size is already reasonably small with one-PRB granularity. However, if we consider the extreme cases where very compact DCI size is necessary as in URLLC, larger RBG size would be useful. </w:t>
      </w:r>
    </w:p>
    <w:p w14:paraId="4B330FE6" w14:textId="50A30F45" w:rsidR="00B96413" w:rsidRDefault="16512788" w:rsidP="16512788">
      <w:pPr>
        <w:rPr>
          <w:i/>
          <w:iCs/>
        </w:rPr>
      </w:pPr>
      <w:r w:rsidRPr="16512788">
        <w:rPr>
          <w:b/>
          <w:bCs/>
          <w:i/>
          <w:iCs/>
        </w:rPr>
        <w:t>Proposal 3:</w:t>
      </w:r>
      <w:r w:rsidRPr="16512788">
        <w:rPr>
          <w:i/>
          <w:iCs/>
        </w:rPr>
        <w:t xml:space="preserve"> For resource allocation NR RA type 1, a coarse granularity of more than one PRB is supported. </w:t>
      </w:r>
    </w:p>
    <w:p w14:paraId="0FA439FD" w14:textId="2A92C855" w:rsidR="00F9431F" w:rsidRDefault="141204DA" w:rsidP="00F0021E">
      <w:pPr>
        <w:jc w:val="both"/>
      </w:pPr>
      <w:r w:rsidRPr="141204DA">
        <w:rPr>
          <w:lang w:val="en-US" w:eastAsia="ja-JP"/>
        </w:rPr>
        <w:t xml:space="preserve">On the other hand considering the multiplexing of Type 0 UEs  and Type 1 UEs, a multiplexing issues occures. </w:t>
      </w:r>
      <w:r>
        <w:t xml:space="preserve">NR gNB can operate different users on different BWPs of a single NW carrier. BWPs can be of different BW, they can be also fully or partially overlapping. This is illustrated in Figure 1, where UE1 is configured with BWP comprising 48PRBs (e.g. 40MHz with 60kHz SCS) and with configured RBG size of 16RBs, at the same time UE2 is configured with BWP comprising 24RB (20MHz with 60kHz SCS) and RBG size of 4RBs. UE2 cannot operate on the full BW of 48PRBs, because UE2 is capable only of at most 10Mhz BW or is in power saving mode. As soon as UE2 is scheduled with small allocation, such as FB message, the “yellow resource” in Figure 1 is not schedulable anymore by TYPE0 RA with 16RB RBG. However, it could still be schedulable using type 1 RA with finer granularity. However, fine granularity of RA type </w:t>
      </w:r>
      <w:r>
        <w:lastRenderedPageBreak/>
        <w:t xml:space="preserve">1 could results in overhead larger than TYP0 RA. To solve this problem, the fine granularity could be used only for start PRB and length could employ course granularity instead. </w:t>
      </w:r>
    </w:p>
    <w:p w14:paraId="2A5150BD" w14:textId="6A8A5064" w:rsidR="00F9431F" w:rsidRDefault="00F9431F" w:rsidP="00F0021E">
      <w:pPr>
        <w:jc w:val="center"/>
      </w:pPr>
      <w:r w:rsidRPr="00F9431F">
        <w:rPr>
          <w:rFonts w:ascii="Arial" w:eastAsia="Times New Roman" w:hAnsi="Arial" w:cs="Arial"/>
          <w:color w:val="000000"/>
          <w:lang w:val="en-US"/>
        </w:rPr>
        <w:object w:dxaOrig="7550" w:dyaOrig="3290" w14:anchorId="7B619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65pt" o:ole="">
            <v:imagedata r:id="rId12" o:title=""/>
          </v:shape>
          <o:OLEObject Type="Embed" ProgID="Visio.Drawing.11" ShapeID="_x0000_i1025" DrawAspect="Content" ObjectID="_1568493469" r:id="rId13"/>
        </w:object>
      </w:r>
    </w:p>
    <w:p w14:paraId="0C93347C" w14:textId="5651F5FE" w:rsidR="00F9431F" w:rsidRDefault="16512788" w:rsidP="00F0021E">
      <w:pPr>
        <w:jc w:val="center"/>
      </w:pPr>
      <w:r>
        <w:t>Figure 1  Two BW parts (BWP) on NR network carrrier sharing the common PRB grid</w:t>
      </w:r>
    </w:p>
    <w:p w14:paraId="59FD89E8" w14:textId="77777777" w:rsidR="00D944E4" w:rsidRDefault="00D944E4" w:rsidP="00DB040B"/>
    <w:p w14:paraId="01CC0F51" w14:textId="0FAB0492" w:rsidR="00F9431F" w:rsidRDefault="16512788" w:rsidP="16512788">
      <w:pPr>
        <w:rPr>
          <w:i/>
          <w:iCs/>
        </w:rPr>
      </w:pPr>
      <w:r w:rsidRPr="16512788">
        <w:rPr>
          <w:b/>
          <w:bCs/>
          <w:i/>
          <w:iCs/>
        </w:rPr>
        <w:t>Proposal 4:</w:t>
      </w:r>
      <w:r w:rsidRPr="16512788">
        <w:rPr>
          <w:i/>
          <w:iCs/>
        </w:rPr>
        <w:t xml:space="preserve"> To improve multiplexing of UEs operating on different BWPs on a NW carrier, for RA type 1, consider per BWP configuration of separate RBG size for start and length. </w:t>
      </w:r>
    </w:p>
    <w:p w14:paraId="197C3933" w14:textId="475FCB8D" w:rsidR="002667A8" w:rsidRDefault="002667A8" w:rsidP="00DB040B">
      <w:pPr>
        <w:rPr>
          <w:i/>
        </w:rPr>
      </w:pPr>
    </w:p>
    <w:p w14:paraId="4110CDD8" w14:textId="2DC85D93" w:rsidR="002667A8" w:rsidRPr="00F0021E" w:rsidRDefault="16512788" w:rsidP="16512788">
      <w:pPr>
        <w:rPr>
          <w:b/>
          <w:bCs/>
          <w:u w:val="single"/>
        </w:rPr>
      </w:pPr>
      <w:r w:rsidRPr="16512788">
        <w:rPr>
          <w:b/>
          <w:bCs/>
          <w:u w:val="single"/>
        </w:rPr>
        <w:t>On support of non-conriguous RA type 1</w:t>
      </w:r>
    </w:p>
    <w:p w14:paraId="546A24B8" w14:textId="2CC82ECE" w:rsidR="00C94F73" w:rsidRDefault="16512788" w:rsidP="00DB040B">
      <w:r>
        <w:t>The main advantages of type 1 RA over type 0 RA are: (1) smaller granularity (e.g. one RB); (2) more compact DCI size. When type 1 RA is used to allocate a small amount of resources, it can benefit from frequency diversity (when frequency-selective scheduling is not or cannot be used) if non-contiguous resource allocation is supported. The non-contiguous resource allocation can be based on some simple interlaced structure, and the details can be further discussed.</w:t>
      </w:r>
    </w:p>
    <w:p w14:paraId="6F34DA1A" w14:textId="6AD04EC1" w:rsidR="00CA1941" w:rsidRPr="006719E0" w:rsidRDefault="16512788" w:rsidP="00DB040B">
      <w:r>
        <w:t>On the other hand, intra-slot frequency hopping is not seen as so necessary because frequency diversity can be achieved as long as 2 or more PRBs are allocated. In addition, intra-slot frequency hopping requires additional effort and would make it not well compatible with other RA schemes, which would make it difficult to be used in practice.</w:t>
      </w:r>
    </w:p>
    <w:p w14:paraId="4B9D6431" w14:textId="39BA7434" w:rsidR="00C94F73" w:rsidRDefault="16512788" w:rsidP="16512788">
      <w:pPr>
        <w:rPr>
          <w:i/>
          <w:iCs/>
        </w:rPr>
      </w:pPr>
      <w:r w:rsidRPr="16512788">
        <w:rPr>
          <w:b/>
          <w:bCs/>
          <w:i/>
          <w:iCs/>
        </w:rPr>
        <w:t>Proposal 5</w:t>
      </w:r>
      <w:r w:rsidRPr="16512788">
        <w:rPr>
          <w:i/>
          <w:iCs/>
        </w:rPr>
        <w:t>: For resource allocation based on NR RA type 1 for PDSCH, both contiguous and non-contiguous RA are supported. Intra-slot frequency hopping is not supported. FFS the details of non-contiguous RA.</w:t>
      </w:r>
    </w:p>
    <w:p w14:paraId="625E90E8" w14:textId="61DF8979" w:rsidR="00F9431F" w:rsidRDefault="16512788" w:rsidP="16512788">
      <w:pPr>
        <w:rPr>
          <w:i/>
          <w:iCs/>
        </w:rPr>
      </w:pPr>
      <w:r w:rsidRPr="16512788">
        <w:rPr>
          <w:b/>
          <w:bCs/>
          <w:i/>
          <w:iCs/>
        </w:rPr>
        <w:t>Proposal 6</w:t>
      </w:r>
      <w:r w:rsidRPr="16512788">
        <w:rPr>
          <w:i/>
          <w:iCs/>
        </w:rPr>
        <w:t>: For resource allocation based on NR RA type 1 for PUSCH, support only contiguous RA. Intra-slot frequency hopping is not supported. FFS the details of non-contiguous RA.</w:t>
      </w:r>
    </w:p>
    <w:p w14:paraId="21FEEB80" w14:textId="77777777" w:rsidR="00C94F73" w:rsidRDefault="00C94F73" w:rsidP="00DB040B">
      <w:pPr>
        <w:rPr>
          <w:i/>
        </w:rPr>
      </w:pPr>
    </w:p>
    <w:p w14:paraId="4550CBAA" w14:textId="77777777" w:rsidR="009B3054" w:rsidRDefault="009B3054" w:rsidP="141204DA">
      <w:pPr>
        <w:pStyle w:val="Heading2"/>
        <w:rPr>
          <w:lang w:val="en-US" w:eastAsia="ja-JP"/>
        </w:rPr>
      </w:pPr>
      <w:r>
        <w:rPr>
          <w:lang w:val="en-US" w:eastAsia="ja-JP"/>
        </w:rPr>
        <w:t>2.4</w:t>
      </w:r>
      <w:r>
        <w:rPr>
          <w:lang w:val="en-US" w:eastAsia="ja-JP"/>
        </w:rPr>
        <w:tab/>
        <w:t>PRB indexing</w:t>
      </w:r>
    </w:p>
    <w:p w14:paraId="4EA27B60" w14:textId="77777777" w:rsidR="0063530F" w:rsidRDefault="141204DA" w:rsidP="141204DA">
      <w:pPr>
        <w:spacing w:after="120"/>
        <w:jc w:val="both"/>
        <w:rPr>
          <w:rFonts w:eastAsia="MS Mincho"/>
          <w:lang w:val="en-US" w:eastAsia="ja-JP"/>
        </w:rPr>
      </w:pPr>
      <w:r w:rsidRPr="141204DA">
        <w:rPr>
          <w:rFonts w:eastAsia="MS Mincho"/>
          <w:lang w:val="en-US" w:eastAsia="ja-JP"/>
        </w:rPr>
        <w:t xml:space="preserve">It has been agreed to support both common PRB indexing and UE-specific PRB indexing. </w:t>
      </w:r>
    </w:p>
    <w:p w14:paraId="59A82E10" w14:textId="77777777" w:rsidR="0063530F" w:rsidRPr="00A6519F" w:rsidRDefault="141204DA" w:rsidP="141204DA">
      <w:pPr>
        <w:spacing w:after="0"/>
        <w:ind w:left="568"/>
        <w:rPr>
          <w:rFonts w:eastAsia="MS Mincho"/>
          <w:b/>
          <w:bCs/>
          <w:i/>
          <w:iCs/>
          <w:sz w:val="18"/>
          <w:szCs w:val="18"/>
          <w:u w:val="single"/>
          <w:lang w:val="en-US" w:eastAsia="ja-JP"/>
        </w:rPr>
      </w:pPr>
      <w:r w:rsidRPr="141204DA">
        <w:rPr>
          <w:rFonts w:eastAsia="MS Mincho"/>
          <w:b/>
          <w:bCs/>
          <w:i/>
          <w:iCs/>
          <w:sz w:val="18"/>
          <w:szCs w:val="18"/>
          <w:highlight w:val="green"/>
          <w:u w:val="single"/>
          <w:lang w:val="en-US" w:eastAsia="ja-JP"/>
        </w:rPr>
        <w:t>Agreements:</w:t>
      </w:r>
      <w:r w:rsidRPr="141204DA">
        <w:rPr>
          <w:rFonts w:ascii="Times" w:eastAsia="MS Mincho" w:hAnsi="Times"/>
          <w:i/>
          <w:iCs/>
          <w:sz w:val="18"/>
          <w:szCs w:val="18"/>
          <w:lang w:val="en-US" w:eastAsia="ja-JP"/>
        </w:rPr>
        <w:t xml:space="preserve"> (RAN1-AH#2)</w:t>
      </w:r>
    </w:p>
    <w:p w14:paraId="23FC077D" w14:textId="77777777" w:rsidR="0063530F" w:rsidRPr="00A6519F" w:rsidRDefault="141204DA" w:rsidP="141204DA">
      <w:pPr>
        <w:numPr>
          <w:ilvl w:val="0"/>
          <w:numId w:val="6"/>
        </w:numPr>
        <w:tabs>
          <w:tab w:val="clear" w:pos="720"/>
          <w:tab w:val="left" w:pos="20"/>
          <w:tab w:val="num" w:pos="1288"/>
        </w:tabs>
        <w:overflowPunct/>
        <w:autoSpaceDE/>
        <w:autoSpaceDN/>
        <w:adjustRightInd/>
        <w:spacing w:after="0"/>
        <w:ind w:left="1288"/>
        <w:textAlignment w:val="auto"/>
        <w:rPr>
          <w:rFonts w:eastAsia="MS Mincho"/>
          <w:i/>
          <w:iCs/>
          <w:sz w:val="18"/>
          <w:szCs w:val="18"/>
          <w:lang w:val="en-US" w:eastAsia="ja-JP"/>
        </w:rPr>
      </w:pPr>
      <w:r w:rsidRPr="141204DA">
        <w:rPr>
          <w:rFonts w:eastAsia="MS Mincho"/>
          <w:i/>
          <w:iCs/>
          <w:sz w:val="18"/>
          <w:szCs w:val="18"/>
          <w:lang w:val="en-US" w:eastAsia="ja-JP"/>
        </w:rPr>
        <w:t>Common PRB indexing is supported</w:t>
      </w:r>
    </w:p>
    <w:p w14:paraId="16B7FA90"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141204DA">
        <w:rPr>
          <w:rFonts w:eastAsia="MS Mincho"/>
          <w:i/>
          <w:iCs/>
          <w:sz w:val="18"/>
          <w:szCs w:val="18"/>
          <w:lang w:val="en-US" w:eastAsia="ja-JP"/>
        </w:rPr>
        <w:t xml:space="preserve">The indexing is common to all the UEs sharing a wideband CC from network perspective, regardless of whether they are NB, CA, or WB UEs. </w:t>
      </w:r>
    </w:p>
    <w:p w14:paraId="2B1429F9"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141204DA">
        <w:rPr>
          <w:rFonts w:eastAsia="MS Mincho"/>
          <w:i/>
          <w:iCs/>
          <w:sz w:val="18"/>
          <w:szCs w:val="18"/>
          <w:lang w:val="en-US" w:eastAsia="ja-JP"/>
        </w:rPr>
        <w:t>The indexing is with respect to the reference point</w:t>
      </w:r>
    </w:p>
    <w:p w14:paraId="3F9B101F"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141204DA">
        <w:rPr>
          <w:rFonts w:eastAsia="MS Mincho"/>
          <w:i/>
          <w:iCs/>
          <w:sz w:val="18"/>
          <w:szCs w:val="18"/>
          <w:lang w:val="en-US" w:eastAsia="ja-JP"/>
        </w:rPr>
        <w:t>The indexing is with respect to a given numerology</w:t>
      </w:r>
    </w:p>
    <w:p w14:paraId="3AC646DC"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141204DA">
        <w:rPr>
          <w:rFonts w:eastAsia="MS Mincho"/>
          <w:i/>
          <w:iCs/>
          <w:sz w:val="18"/>
          <w:szCs w:val="18"/>
          <w:lang w:val="en-US" w:eastAsia="ja-JP"/>
        </w:rPr>
        <w:t>Note: Example usage of common PRB indexing is for scheduling group common PDSCH, RS sequences, BWP configuration, etc.</w:t>
      </w:r>
    </w:p>
    <w:p w14:paraId="63993857" w14:textId="77777777" w:rsidR="0063530F" w:rsidRPr="00A6519F" w:rsidRDefault="141204DA" w:rsidP="141204DA">
      <w:pPr>
        <w:numPr>
          <w:ilvl w:val="0"/>
          <w:numId w:val="6"/>
        </w:numPr>
        <w:tabs>
          <w:tab w:val="clear" w:pos="720"/>
          <w:tab w:val="left" w:pos="20"/>
          <w:tab w:val="num" w:pos="1288"/>
        </w:tabs>
        <w:overflowPunct/>
        <w:autoSpaceDE/>
        <w:autoSpaceDN/>
        <w:adjustRightInd/>
        <w:spacing w:after="0"/>
        <w:ind w:left="1288"/>
        <w:textAlignment w:val="auto"/>
        <w:rPr>
          <w:rFonts w:eastAsia="MS Mincho"/>
          <w:i/>
          <w:iCs/>
          <w:sz w:val="18"/>
          <w:szCs w:val="18"/>
          <w:lang w:val="en-US" w:eastAsia="ja-JP"/>
        </w:rPr>
      </w:pPr>
      <w:r w:rsidRPr="141204DA">
        <w:rPr>
          <w:rFonts w:eastAsia="MS Mincho"/>
          <w:i/>
          <w:iCs/>
          <w:sz w:val="18"/>
          <w:szCs w:val="18"/>
          <w:lang w:val="en-US" w:eastAsia="ja-JP"/>
        </w:rPr>
        <w:t>UE-specific PRB indexing is supported</w:t>
      </w:r>
    </w:p>
    <w:p w14:paraId="08135A52"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i/>
          <w:iCs/>
          <w:sz w:val="18"/>
          <w:szCs w:val="18"/>
          <w:lang w:val="en-US" w:eastAsia="ja-JP"/>
        </w:rPr>
      </w:pPr>
      <w:r w:rsidRPr="141204DA">
        <w:rPr>
          <w:rFonts w:eastAsia="MS Mincho"/>
          <w:i/>
          <w:iCs/>
          <w:sz w:val="18"/>
          <w:szCs w:val="18"/>
          <w:lang w:val="en-US" w:eastAsia="ja-JP"/>
        </w:rPr>
        <w:t>It is indexed per BWP with respect to the configured SCS for the BWP</w:t>
      </w:r>
    </w:p>
    <w:p w14:paraId="697CA0CD" w14:textId="77777777" w:rsidR="0063530F" w:rsidRPr="00A6519F" w:rsidRDefault="141204DA" w:rsidP="141204DA">
      <w:pPr>
        <w:numPr>
          <w:ilvl w:val="1"/>
          <w:numId w:val="6"/>
        </w:numPr>
        <w:tabs>
          <w:tab w:val="clear" w:pos="1440"/>
          <w:tab w:val="left" w:pos="20"/>
          <w:tab w:val="num" w:pos="1724"/>
        </w:tabs>
        <w:overflowPunct/>
        <w:autoSpaceDE/>
        <w:autoSpaceDN/>
        <w:adjustRightInd/>
        <w:spacing w:after="0"/>
        <w:ind w:left="2008"/>
        <w:textAlignment w:val="auto"/>
        <w:rPr>
          <w:rFonts w:eastAsia="MS Mincho"/>
          <w:sz w:val="18"/>
          <w:szCs w:val="18"/>
          <w:lang w:val="en-US" w:eastAsia="ja-JP"/>
        </w:rPr>
      </w:pPr>
      <w:r w:rsidRPr="141204DA">
        <w:rPr>
          <w:rFonts w:eastAsia="MS Mincho"/>
          <w:i/>
          <w:iCs/>
          <w:sz w:val="18"/>
          <w:szCs w:val="18"/>
          <w:lang w:val="en-US" w:eastAsia="ja-JP"/>
        </w:rPr>
        <w:t>Note: Example usage of UE-specific indexing is for scheduling UE-specific PDSCH</w:t>
      </w:r>
    </w:p>
    <w:p w14:paraId="6D31CE55" w14:textId="77777777" w:rsidR="0063530F" w:rsidRPr="00E67802" w:rsidRDefault="0063530F" w:rsidP="0063530F">
      <w:pPr>
        <w:spacing w:after="120"/>
        <w:jc w:val="both"/>
        <w:rPr>
          <w:lang w:val="en-US"/>
        </w:rPr>
      </w:pPr>
    </w:p>
    <w:p w14:paraId="51DD63B8" w14:textId="3278DC92" w:rsidR="00D4662F" w:rsidRDefault="141204DA" w:rsidP="141204DA">
      <w:pPr>
        <w:spacing w:after="120"/>
        <w:jc w:val="both"/>
        <w:rPr>
          <w:rFonts w:eastAsia="MS Mincho"/>
          <w:lang w:val="en-US" w:eastAsia="ja-JP"/>
        </w:rPr>
      </w:pPr>
      <w:r w:rsidRPr="141204DA">
        <w:rPr>
          <w:rFonts w:eastAsia="MS Mincho"/>
          <w:lang w:val="en-US" w:eastAsia="ja-JP"/>
        </w:rPr>
        <w:t>Here we only consider the PRB indexing for resource allocation after the initial access procedure is completed (i.e. after Msg 4), one or more BWPs have been configured, and one BWP is activated. The PRB indexing in resource allocation before this is separately discussed under the initial access agenda item.</w:t>
      </w:r>
    </w:p>
    <w:p w14:paraId="5F00E24D" w14:textId="54008AC7" w:rsidR="006F418C" w:rsidRDefault="141204DA" w:rsidP="141204DA">
      <w:pPr>
        <w:spacing w:after="120"/>
        <w:jc w:val="both"/>
        <w:rPr>
          <w:rFonts w:eastAsia="MS Mincho"/>
          <w:lang w:val="en-US" w:eastAsia="ja-JP"/>
        </w:rPr>
      </w:pPr>
      <w:r w:rsidRPr="141204DA">
        <w:rPr>
          <w:rFonts w:eastAsia="MS Mincho"/>
          <w:lang w:val="en-US" w:eastAsia="ja-JP"/>
        </w:rPr>
        <w:t xml:space="preserve">For resource allocation purpose within a BWP, it is natural that the UE-specific PRB indexing should be used, i.e., it is indexed within the BWP with respect to the configured SCS. </w:t>
      </w:r>
    </w:p>
    <w:p w14:paraId="2150D125" w14:textId="694DA217" w:rsidR="006F418C" w:rsidRPr="00C95609" w:rsidRDefault="141204DA" w:rsidP="141204DA">
      <w:pPr>
        <w:rPr>
          <w:i/>
          <w:iCs/>
          <w:lang w:val="en-US"/>
        </w:rPr>
      </w:pPr>
      <w:r w:rsidRPr="141204DA">
        <w:rPr>
          <w:b/>
          <w:bCs/>
          <w:i/>
          <w:iCs/>
          <w:lang w:val="en-US"/>
        </w:rPr>
        <w:t>Proposal 8</w:t>
      </w:r>
      <w:r w:rsidRPr="141204DA">
        <w:rPr>
          <w:i/>
          <w:iCs/>
          <w:lang w:val="en-US"/>
        </w:rPr>
        <w:t>: For frequency-domain resource allocation in a BWP, UE-specific PRB indexing is used. That is, i</w:t>
      </w:r>
      <w:r w:rsidRPr="141204DA">
        <w:rPr>
          <w:rFonts w:eastAsia="MS Mincho"/>
          <w:i/>
          <w:iCs/>
          <w:lang w:val="en-US" w:eastAsia="ja-JP"/>
        </w:rPr>
        <w:t>t is indexed within the BWP with respect to the configured SCS for the BWP</w:t>
      </w:r>
      <w:r w:rsidRPr="141204DA">
        <w:rPr>
          <w:i/>
          <w:iCs/>
          <w:lang w:val="en-US"/>
        </w:rPr>
        <w:t>.</w:t>
      </w:r>
    </w:p>
    <w:p w14:paraId="7CC2C3E8" w14:textId="1D7D6688" w:rsidR="00EC4904" w:rsidRDefault="00DA18A2" w:rsidP="141204DA">
      <w:pPr>
        <w:spacing w:after="120"/>
        <w:jc w:val="both"/>
        <w:rPr>
          <w:rFonts w:eastAsia="MS Mincho"/>
          <w:lang w:val="en-US" w:eastAsia="ja-JP"/>
        </w:rPr>
      </w:pPr>
      <w:r>
        <w:rPr>
          <w:rFonts w:eastAsia="MS Mincho"/>
          <w:lang w:val="en-US" w:eastAsia="ja-JP"/>
        </w:rPr>
        <w:t>The</w:t>
      </w:r>
      <w:r w:rsidR="00EC4904">
        <w:rPr>
          <w:rFonts w:eastAsia="MS Mincho"/>
          <w:lang w:val="en-US" w:eastAsia="ja-JP"/>
        </w:rPr>
        <w:t xml:space="preserve"> </w:t>
      </w:r>
      <w:r w:rsidR="00C5099B">
        <w:rPr>
          <w:rFonts w:eastAsia="MS Mincho"/>
          <w:lang w:val="en-US" w:eastAsia="ja-JP"/>
        </w:rPr>
        <w:t xml:space="preserve">remaining aspect of </w:t>
      </w:r>
      <w:r>
        <w:rPr>
          <w:rFonts w:eastAsia="MS Mincho"/>
          <w:lang w:val="en-US" w:eastAsia="ja-JP"/>
        </w:rPr>
        <w:t xml:space="preserve">configuration of the </w:t>
      </w:r>
      <w:r w:rsidR="00EC4904">
        <w:rPr>
          <w:rFonts w:eastAsia="MS Mincho"/>
          <w:lang w:val="en-US" w:eastAsia="ja-JP"/>
        </w:rPr>
        <w:t xml:space="preserve">reference point </w:t>
      </w:r>
      <w:r w:rsidR="00C5099B">
        <w:rPr>
          <w:rFonts w:eastAsia="MS Mincho"/>
          <w:lang w:val="en-US" w:eastAsia="ja-JP"/>
        </w:rPr>
        <w:t xml:space="preserve">for common indexing can be found in </w:t>
      </w:r>
      <w:r w:rsidRPr="3E61DC49">
        <w:fldChar w:fldCharType="begin"/>
      </w:r>
      <w:r>
        <w:rPr>
          <w:rFonts w:eastAsia="MS Mincho"/>
          <w:lang w:val="en-US" w:eastAsia="ja-JP"/>
        </w:rPr>
        <w:instrText xml:space="preserve"> REF _Ref492459514 \r \h </w:instrText>
      </w:r>
      <w:r w:rsidRPr="3E61DC49">
        <w:rPr>
          <w:rFonts w:eastAsia="MS Mincho"/>
          <w:lang w:val="en-US" w:eastAsia="ja-JP"/>
        </w:rPr>
        <w:fldChar w:fldCharType="separate"/>
      </w:r>
      <w:r>
        <w:rPr>
          <w:rFonts w:eastAsia="MS Mincho"/>
          <w:lang w:val="en-US" w:eastAsia="ja-JP"/>
        </w:rPr>
        <w:t>[2]</w:t>
      </w:r>
      <w:r w:rsidRPr="3E61DC49">
        <w:fldChar w:fldCharType="end"/>
      </w:r>
      <w:r>
        <w:rPr>
          <w:rFonts w:eastAsia="MS Mincho"/>
          <w:lang w:val="en-US" w:eastAsia="ja-JP"/>
        </w:rPr>
        <w:t>.</w:t>
      </w:r>
    </w:p>
    <w:p w14:paraId="4467662A" w14:textId="77777777" w:rsidR="000717FB" w:rsidRDefault="000717FB" w:rsidP="3E61DC49">
      <w:pPr>
        <w:spacing w:after="120"/>
        <w:jc w:val="both"/>
        <w:rPr>
          <w:rFonts w:eastAsia="MS Mincho"/>
          <w:lang w:val="en-US" w:eastAsia="ja-JP"/>
        </w:rPr>
      </w:pPr>
    </w:p>
    <w:p w14:paraId="6573F9B9" w14:textId="77777777" w:rsidR="00FB22D7" w:rsidRDefault="00FB22D7" w:rsidP="00FB22D7">
      <w:pPr>
        <w:pStyle w:val="Heading1"/>
      </w:pPr>
      <w:bookmarkStart w:id="1" w:name="OLE_LINK16"/>
      <w:bookmarkStart w:id="2" w:name="OLE_LINK15"/>
      <w:r>
        <w:t>3</w:t>
      </w:r>
      <w:r>
        <w:tab/>
        <w:t>Minimum and maximum scheduling interval</w:t>
      </w:r>
    </w:p>
    <w:p w14:paraId="2D4029C4" w14:textId="77731C40" w:rsidR="00FB22D7" w:rsidRDefault="16512788" w:rsidP="16512788">
      <w:pPr>
        <w:spacing w:before="100" w:beforeAutospacing="1" w:after="120"/>
        <w:jc w:val="both"/>
        <w:rPr>
          <w:rFonts w:eastAsiaTheme="minorEastAsia"/>
        </w:rPr>
      </w:pPr>
      <w:r>
        <w:t xml:space="preserve">As the symbol duration and thus the slot duration scales down when the sub-carrier spacing scales up, it is worth taking a new look at the time-domain scheduling and DL/UL switching intervals. Based on the most recent LS received from RAN4 [3] NR supports the following subcarrier spacing (SCS): </w:t>
      </w:r>
    </w:p>
    <w:p w14:paraId="118F0BD6" w14:textId="77777777" w:rsidR="00FB22D7" w:rsidRPr="00A75A52" w:rsidRDefault="16512788" w:rsidP="16512788">
      <w:pPr>
        <w:numPr>
          <w:ilvl w:val="0"/>
          <w:numId w:val="8"/>
        </w:numPr>
        <w:tabs>
          <w:tab w:val="clear" w:pos="720"/>
          <w:tab w:val="num" w:pos="1004"/>
        </w:tabs>
        <w:overflowPunct/>
        <w:autoSpaceDE/>
        <w:autoSpaceDN/>
        <w:adjustRightInd/>
        <w:spacing w:after="0"/>
        <w:ind w:left="1004"/>
        <w:textAlignment w:val="auto"/>
        <w:rPr>
          <w:color w:val="44546A" w:themeColor="text2"/>
        </w:rPr>
      </w:pPr>
      <w:r w:rsidRPr="16512788">
        <w:rPr>
          <w:color w:val="44546A" w:themeColor="text2"/>
        </w:rPr>
        <w:t>SCS supported for bands below 1 GHz</w:t>
      </w:r>
    </w:p>
    <w:p w14:paraId="37C5DD18" w14:textId="77777777" w:rsidR="00FB22D7" w:rsidRPr="00A75A52" w:rsidRDefault="16512788" w:rsidP="16512788">
      <w:pPr>
        <w:numPr>
          <w:ilvl w:val="1"/>
          <w:numId w:val="8"/>
        </w:numPr>
        <w:tabs>
          <w:tab w:val="clear" w:pos="1440"/>
          <w:tab w:val="num" w:pos="1724"/>
        </w:tabs>
        <w:overflowPunct/>
        <w:autoSpaceDE/>
        <w:autoSpaceDN/>
        <w:adjustRightInd/>
        <w:spacing w:after="0"/>
        <w:ind w:left="1724"/>
        <w:textAlignment w:val="auto"/>
        <w:rPr>
          <w:color w:val="44546A" w:themeColor="text2"/>
        </w:rPr>
      </w:pPr>
      <w:r w:rsidRPr="16512788">
        <w:rPr>
          <w:color w:val="44546A" w:themeColor="text2"/>
        </w:rPr>
        <w:t>15kHz, 30kHz</w:t>
      </w:r>
    </w:p>
    <w:p w14:paraId="3CBFBF14" w14:textId="77777777" w:rsidR="00FB22D7" w:rsidRPr="00A75A52" w:rsidRDefault="16512788" w:rsidP="16512788">
      <w:pPr>
        <w:numPr>
          <w:ilvl w:val="1"/>
          <w:numId w:val="8"/>
        </w:numPr>
        <w:tabs>
          <w:tab w:val="clear" w:pos="1440"/>
          <w:tab w:val="num" w:pos="1724"/>
        </w:tabs>
        <w:overflowPunct/>
        <w:autoSpaceDE/>
        <w:autoSpaceDN/>
        <w:adjustRightInd/>
        <w:spacing w:after="0"/>
        <w:ind w:left="1724"/>
        <w:textAlignment w:val="auto"/>
        <w:rPr>
          <w:color w:val="44546A" w:themeColor="text2"/>
        </w:rPr>
      </w:pPr>
      <w:r w:rsidRPr="16512788">
        <w:rPr>
          <w:color w:val="44546A" w:themeColor="text2"/>
        </w:rPr>
        <w:t>The decision of supporting 60kHz is pending RAN1 check</w:t>
      </w:r>
    </w:p>
    <w:p w14:paraId="2312488B" w14:textId="77777777" w:rsidR="00FB22D7" w:rsidRPr="00A75A52" w:rsidRDefault="16512788" w:rsidP="16512788">
      <w:pPr>
        <w:numPr>
          <w:ilvl w:val="0"/>
          <w:numId w:val="8"/>
        </w:numPr>
        <w:tabs>
          <w:tab w:val="clear" w:pos="720"/>
          <w:tab w:val="num" w:pos="1004"/>
        </w:tabs>
        <w:overflowPunct/>
        <w:autoSpaceDE/>
        <w:autoSpaceDN/>
        <w:adjustRightInd/>
        <w:spacing w:after="0"/>
        <w:ind w:left="1004"/>
        <w:textAlignment w:val="auto"/>
        <w:rPr>
          <w:color w:val="44546A" w:themeColor="text2"/>
        </w:rPr>
      </w:pPr>
      <w:r w:rsidRPr="16512788">
        <w:rPr>
          <w:color w:val="44546A" w:themeColor="text2"/>
        </w:rPr>
        <w:t>SCS supported for bands between 1GHz and 6GHz</w:t>
      </w:r>
    </w:p>
    <w:p w14:paraId="0F75D404" w14:textId="77777777" w:rsidR="00FB22D7" w:rsidRPr="00A75A52" w:rsidRDefault="16512788" w:rsidP="16512788">
      <w:pPr>
        <w:numPr>
          <w:ilvl w:val="1"/>
          <w:numId w:val="8"/>
        </w:numPr>
        <w:tabs>
          <w:tab w:val="clear" w:pos="1440"/>
          <w:tab w:val="num" w:pos="1724"/>
        </w:tabs>
        <w:overflowPunct/>
        <w:autoSpaceDE/>
        <w:autoSpaceDN/>
        <w:adjustRightInd/>
        <w:spacing w:after="0"/>
        <w:ind w:left="1724"/>
        <w:textAlignment w:val="auto"/>
        <w:rPr>
          <w:color w:val="44546A" w:themeColor="text2"/>
        </w:rPr>
      </w:pPr>
      <w:r w:rsidRPr="16512788">
        <w:rPr>
          <w:color w:val="44546A" w:themeColor="text2"/>
        </w:rPr>
        <w:t>15kHz, 30kHz, 60kHz</w:t>
      </w:r>
    </w:p>
    <w:p w14:paraId="365356ED" w14:textId="77777777" w:rsidR="00FB22D7" w:rsidRPr="00A75A52" w:rsidRDefault="16512788" w:rsidP="16512788">
      <w:pPr>
        <w:numPr>
          <w:ilvl w:val="0"/>
          <w:numId w:val="8"/>
        </w:numPr>
        <w:tabs>
          <w:tab w:val="clear" w:pos="720"/>
          <w:tab w:val="num" w:pos="1004"/>
        </w:tabs>
        <w:overflowPunct/>
        <w:autoSpaceDE/>
        <w:autoSpaceDN/>
        <w:adjustRightInd/>
        <w:spacing w:after="0"/>
        <w:ind w:left="1004"/>
        <w:textAlignment w:val="auto"/>
        <w:rPr>
          <w:color w:val="44546A" w:themeColor="text2"/>
        </w:rPr>
      </w:pPr>
      <w:r w:rsidRPr="16512788">
        <w:rPr>
          <w:color w:val="44546A" w:themeColor="text2"/>
        </w:rPr>
        <w:t>SCS supported for bands above 24GHz and below 52.6GHz</w:t>
      </w:r>
    </w:p>
    <w:p w14:paraId="363A81CA" w14:textId="77777777" w:rsidR="00FB22D7" w:rsidRPr="00A75A52" w:rsidRDefault="16512788" w:rsidP="16512788">
      <w:pPr>
        <w:numPr>
          <w:ilvl w:val="1"/>
          <w:numId w:val="8"/>
        </w:numPr>
        <w:tabs>
          <w:tab w:val="clear" w:pos="1440"/>
          <w:tab w:val="num" w:pos="1724"/>
        </w:tabs>
        <w:overflowPunct/>
        <w:autoSpaceDE/>
        <w:autoSpaceDN/>
        <w:adjustRightInd/>
        <w:spacing w:after="0"/>
        <w:ind w:left="1724"/>
        <w:textAlignment w:val="auto"/>
        <w:rPr>
          <w:color w:val="44546A" w:themeColor="text2"/>
        </w:rPr>
      </w:pPr>
      <w:r w:rsidRPr="16512788">
        <w:rPr>
          <w:color w:val="44546A" w:themeColor="text2"/>
        </w:rPr>
        <w:t>60 kHz, 120kHz</w:t>
      </w:r>
    </w:p>
    <w:p w14:paraId="7D91E4FE" w14:textId="77777777" w:rsidR="00FB22D7" w:rsidRPr="00A75A52" w:rsidRDefault="16512788" w:rsidP="16512788">
      <w:pPr>
        <w:numPr>
          <w:ilvl w:val="1"/>
          <w:numId w:val="8"/>
        </w:numPr>
        <w:tabs>
          <w:tab w:val="clear" w:pos="1440"/>
          <w:tab w:val="num" w:pos="1724"/>
        </w:tabs>
        <w:overflowPunct/>
        <w:autoSpaceDE/>
        <w:autoSpaceDN/>
        <w:adjustRightInd/>
        <w:spacing w:after="0"/>
        <w:ind w:left="1724"/>
        <w:textAlignment w:val="auto"/>
        <w:rPr>
          <w:color w:val="44546A" w:themeColor="text2"/>
        </w:rPr>
      </w:pPr>
      <w:r w:rsidRPr="16512788">
        <w:rPr>
          <w:color w:val="44546A" w:themeColor="text2"/>
        </w:rPr>
        <w:t>240kHz is not applicable for data</w:t>
      </w:r>
    </w:p>
    <w:p w14:paraId="610AD078" w14:textId="77777777" w:rsidR="00FB22D7" w:rsidRPr="00A75A52" w:rsidRDefault="16512788" w:rsidP="16512788">
      <w:pPr>
        <w:numPr>
          <w:ilvl w:val="0"/>
          <w:numId w:val="9"/>
        </w:numPr>
        <w:overflowPunct/>
        <w:autoSpaceDE/>
        <w:autoSpaceDN/>
        <w:adjustRightInd/>
        <w:spacing w:after="0"/>
        <w:ind w:left="2864"/>
        <w:textAlignment w:val="auto"/>
        <w:rPr>
          <w:color w:val="44546A" w:themeColor="text2"/>
        </w:rPr>
      </w:pPr>
      <w:r w:rsidRPr="16512788">
        <w:rPr>
          <w:color w:val="44546A" w:themeColor="text2"/>
        </w:rPr>
        <w:t xml:space="preserve">240kHz for data can be further considered if a clear benefit is shown </w:t>
      </w:r>
    </w:p>
    <w:p w14:paraId="76EC7085" w14:textId="77777777" w:rsidR="00FB22D7" w:rsidRPr="00A75A52" w:rsidRDefault="16512788" w:rsidP="16512788">
      <w:pPr>
        <w:numPr>
          <w:ilvl w:val="0"/>
          <w:numId w:val="8"/>
        </w:numPr>
        <w:tabs>
          <w:tab w:val="clear" w:pos="720"/>
          <w:tab w:val="num" w:pos="1004"/>
        </w:tabs>
        <w:overflowPunct/>
        <w:autoSpaceDE/>
        <w:autoSpaceDN/>
        <w:adjustRightInd/>
        <w:spacing w:after="0"/>
        <w:ind w:left="1004"/>
        <w:textAlignment w:val="auto"/>
        <w:rPr>
          <w:color w:val="44546A" w:themeColor="text2"/>
        </w:rPr>
      </w:pPr>
      <w:r w:rsidRPr="16512788">
        <w:rPr>
          <w:color w:val="44546A" w:themeColor="text2"/>
        </w:rPr>
        <w:t>SCS support is band dependent</w:t>
      </w:r>
    </w:p>
    <w:p w14:paraId="67A591DB" w14:textId="77777777" w:rsidR="00FB22D7" w:rsidRPr="00A75A52" w:rsidRDefault="16512788" w:rsidP="16512788">
      <w:pPr>
        <w:numPr>
          <w:ilvl w:val="0"/>
          <w:numId w:val="8"/>
        </w:numPr>
        <w:tabs>
          <w:tab w:val="clear" w:pos="720"/>
          <w:tab w:val="num" w:pos="1004"/>
        </w:tabs>
        <w:overflowPunct/>
        <w:autoSpaceDE/>
        <w:autoSpaceDN/>
        <w:adjustRightInd/>
        <w:spacing w:after="0"/>
        <w:ind w:left="1004"/>
        <w:textAlignment w:val="auto"/>
        <w:rPr>
          <w:color w:val="44546A" w:themeColor="text2"/>
        </w:rPr>
      </w:pPr>
      <w:r w:rsidRPr="16512788">
        <w:rPr>
          <w:color w:val="44546A" w:themeColor="text2"/>
        </w:rPr>
        <w:t>RAN4 assumes others SCS at least for data may be added in a forward compatible manner in later releases</w:t>
      </w:r>
    </w:p>
    <w:p w14:paraId="55D95BFE" w14:textId="5869F254" w:rsidR="00FB22D7" w:rsidRDefault="16512788" w:rsidP="16512788">
      <w:pPr>
        <w:spacing w:before="100" w:beforeAutospacing="1" w:after="120"/>
        <w:jc w:val="both"/>
        <w:rPr>
          <w:rFonts w:cstheme="minorBidi"/>
          <w:sz w:val="22"/>
          <w:szCs w:val="22"/>
        </w:rPr>
      </w:pPr>
      <w:r>
        <w:t>While the NR study item TR38.802 [4] captures the following agreement on slot:</w:t>
      </w:r>
    </w:p>
    <w:p w14:paraId="0EAB0C86" w14:textId="77777777" w:rsidR="00FB22D7" w:rsidRPr="00A75A52" w:rsidRDefault="16512788" w:rsidP="16512788">
      <w:pPr>
        <w:ind w:left="284"/>
        <w:rPr>
          <w:color w:val="44546A" w:themeColor="text2"/>
        </w:rPr>
      </w:pPr>
      <w:r w:rsidRPr="16512788">
        <w:rPr>
          <w:color w:val="44546A" w:themeColor="text2"/>
        </w:rPr>
        <w:t xml:space="preserve">A slot can contain all downlink, all uplink, or {at least one downlink part and at least one uplink part}. Slot aggregation is supported, i.e., data transmission can be scheduled to span one or multiple slots. </w:t>
      </w:r>
    </w:p>
    <w:p w14:paraId="530C1DB6" w14:textId="5FC8FEAE" w:rsidR="00FB22D7" w:rsidRDefault="16512788" w:rsidP="3E61DC49">
      <w:r>
        <w:t xml:space="preserve">One of the motivations to introduce slot aggregation is to deal with the short slot duration in case of high SCS. In table 1, the scheduling intervals originating from different slot aggregation levels used with different sub-carrier spacings and slot durations are collected. </w:t>
      </w:r>
    </w:p>
    <w:p w14:paraId="39E6D9A3" w14:textId="77777777" w:rsidR="00F0021E" w:rsidRDefault="00F0021E" w:rsidP="00FB22D7">
      <w:pPr>
        <w:pStyle w:val="Caption"/>
        <w:jc w:val="center"/>
      </w:pPr>
      <w:bookmarkStart w:id="3" w:name="_Ref452368703"/>
    </w:p>
    <w:p w14:paraId="12DCAF54" w14:textId="532E7FBA" w:rsidR="00FB22D7" w:rsidRDefault="00FB22D7" w:rsidP="00FB22D7">
      <w:pPr>
        <w:pStyle w:val="Caption"/>
        <w:jc w:val="center"/>
      </w:pPr>
      <w:r>
        <w:t xml:space="preserve">Table </w:t>
      </w:r>
      <w:r>
        <w:fldChar w:fldCharType="begin"/>
      </w:r>
      <w:r>
        <w:instrText xml:space="preserve"> SEQ Table \* ARABIC </w:instrText>
      </w:r>
      <w:r>
        <w:fldChar w:fldCharType="separate"/>
      </w:r>
      <w:r>
        <w:rPr>
          <w:noProof/>
        </w:rPr>
        <w:t>1</w:t>
      </w:r>
      <w:r>
        <w:fldChar w:fldCharType="end"/>
      </w:r>
      <w:bookmarkEnd w:id="3"/>
      <w:r>
        <w:rPr>
          <w:noProof/>
        </w:rPr>
        <w:t>:</w:t>
      </w:r>
      <w:r w:rsidRPr="16512788">
        <w:t xml:space="preserve"> </w:t>
      </w:r>
      <w:r>
        <w:rPr>
          <w:lang w:val="en-US"/>
        </w:rPr>
        <w:t>Examples of differerent s</w:t>
      </w:r>
      <w:r>
        <w:t>cheduling intervals with different slot aggregation levels (AL)</w:t>
      </w:r>
    </w:p>
    <w:tbl>
      <w:tblPr>
        <w:tblW w:w="6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127"/>
        <w:gridCol w:w="656"/>
        <w:gridCol w:w="802"/>
        <w:gridCol w:w="859"/>
        <w:gridCol w:w="866"/>
        <w:gridCol w:w="1083"/>
      </w:tblGrid>
      <w:tr w:rsidR="00FB22D7" w14:paraId="4E997571" w14:textId="77777777" w:rsidTr="16512788">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373EE5AF" w14:textId="77777777" w:rsidR="00FB22D7" w:rsidRDefault="16512788" w:rsidP="16512788">
            <w:pPr>
              <w:pStyle w:val="00BodyText"/>
              <w:spacing w:after="0"/>
              <w:rPr>
                <w:rFonts w:ascii="Times New Roman" w:hAnsi="Times New Roman"/>
                <w:b/>
                <w:bCs/>
                <w:sz w:val="20"/>
                <w:lang w:val="en-GB"/>
              </w:rPr>
            </w:pPr>
            <w:r w:rsidRPr="16512788">
              <w:rPr>
                <w:rFonts w:ascii="Times New Roman" w:hAnsi="Times New Roman"/>
                <w:b/>
                <w:bCs/>
                <w:sz w:val="20"/>
                <w:lang w:val="en-GB"/>
              </w:rPr>
              <w:t>Subcarrier spacing [kHz]</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FE3EF3" w14:textId="77777777" w:rsidR="00FB22D7" w:rsidRDefault="16512788" w:rsidP="16512788">
            <w:pPr>
              <w:pStyle w:val="00BodyText"/>
              <w:spacing w:after="0"/>
              <w:jc w:val="center"/>
              <w:rPr>
                <w:rFonts w:ascii="Times New Roman" w:hAnsi="Times New Roman"/>
                <w:b/>
                <w:bCs/>
                <w:sz w:val="20"/>
                <w:lang w:val="en-GB"/>
              </w:rPr>
            </w:pPr>
            <w:r w:rsidRPr="16512788">
              <w:rPr>
                <w:rFonts w:ascii="Times New Roman" w:hAnsi="Times New Roman"/>
                <w:b/>
                <w:bCs/>
                <w:sz w:val="20"/>
                <w:lang w:val="en-GB"/>
              </w:rPr>
              <w:t>15</w:t>
            </w:r>
          </w:p>
        </w:tc>
        <w:tc>
          <w:tcPr>
            <w:tcW w:w="802" w:type="dxa"/>
            <w:tcBorders>
              <w:top w:val="single" w:sz="4" w:space="0" w:color="auto"/>
              <w:left w:val="single" w:sz="4" w:space="0" w:color="auto"/>
              <w:bottom w:val="single" w:sz="4" w:space="0" w:color="auto"/>
              <w:right w:val="single" w:sz="4" w:space="0" w:color="auto"/>
            </w:tcBorders>
            <w:hideMark/>
          </w:tcPr>
          <w:p w14:paraId="6EC1919E" w14:textId="77777777" w:rsidR="00FB22D7" w:rsidRDefault="16512788" w:rsidP="16512788">
            <w:pPr>
              <w:pStyle w:val="00BodyText"/>
              <w:spacing w:after="0"/>
              <w:jc w:val="center"/>
              <w:rPr>
                <w:rFonts w:ascii="Times New Roman" w:hAnsi="Times New Roman"/>
                <w:b/>
                <w:bCs/>
                <w:sz w:val="20"/>
                <w:lang w:val="en-GB"/>
              </w:rPr>
            </w:pPr>
            <w:r w:rsidRPr="16512788">
              <w:rPr>
                <w:rFonts w:ascii="Times New Roman" w:hAnsi="Times New Roman"/>
                <w:b/>
                <w:bCs/>
                <w:sz w:val="20"/>
                <w:lang w:val="en-GB"/>
              </w:rPr>
              <w:t>30</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FC5416" w14:textId="77777777" w:rsidR="00FB22D7" w:rsidRDefault="16512788" w:rsidP="16512788">
            <w:pPr>
              <w:pStyle w:val="00BodyText"/>
              <w:spacing w:after="0"/>
              <w:jc w:val="center"/>
              <w:rPr>
                <w:rFonts w:ascii="Times New Roman" w:hAnsi="Times New Roman"/>
                <w:b/>
                <w:bCs/>
                <w:sz w:val="20"/>
                <w:lang w:val="en-GB"/>
              </w:rPr>
            </w:pPr>
            <w:r w:rsidRPr="16512788">
              <w:rPr>
                <w:rFonts w:ascii="Times New Roman" w:hAnsi="Times New Roman"/>
                <w:b/>
                <w:bCs/>
                <w:sz w:val="20"/>
                <w:lang w:val="en-GB"/>
              </w:rPr>
              <w:t>60</w:t>
            </w:r>
          </w:p>
        </w:tc>
        <w:tc>
          <w:tcPr>
            <w:tcW w:w="866" w:type="dxa"/>
            <w:tcBorders>
              <w:top w:val="single" w:sz="4" w:space="0" w:color="auto"/>
              <w:left w:val="single" w:sz="4" w:space="0" w:color="auto"/>
              <w:bottom w:val="single" w:sz="4" w:space="0" w:color="auto"/>
              <w:right w:val="single" w:sz="4" w:space="0" w:color="auto"/>
            </w:tcBorders>
            <w:hideMark/>
          </w:tcPr>
          <w:p w14:paraId="753299F2" w14:textId="77777777" w:rsidR="00FB22D7" w:rsidRDefault="16512788" w:rsidP="16512788">
            <w:pPr>
              <w:pStyle w:val="00BodyText"/>
              <w:spacing w:after="0"/>
              <w:jc w:val="center"/>
              <w:rPr>
                <w:rFonts w:ascii="Times New Roman" w:hAnsi="Times New Roman"/>
                <w:b/>
                <w:bCs/>
                <w:sz w:val="20"/>
                <w:lang w:val="en-GB"/>
              </w:rPr>
            </w:pPr>
            <w:r w:rsidRPr="16512788">
              <w:rPr>
                <w:rFonts w:ascii="Times New Roman" w:hAnsi="Times New Roman"/>
                <w:b/>
                <w:bCs/>
                <w:sz w:val="20"/>
                <w:lang w:val="en-GB"/>
              </w:rPr>
              <w:t>120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48BD78" w14:textId="77777777" w:rsidR="00FB22D7" w:rsidRDefault="16512788" w:rsidP="16512788">
            <w:pPr>
              <w:pStyle w:val="00BodyText"/>
              <w:spacing w:after="0"/>
              <w:jc w:val="center"/>
              <w:rPr>
                <w:rFonts w:ascii="Times New Roman" w:hAnsi="Times New Roman"/>
                <w:b/>
                <w:bCs/>
                <w:sz w:val="20"/>
                <w:lang w:val="en-GB"/>
              </w:rPr>
            </w:pPr>
            <w:r w:rsidRPr="16512788">
              <w:rPr>
                <w:rFonts w:ascii="Times New Roman" w:hAnsi="Times New Roman"/>
                <w:b/>
                <w:bCs/>
                <w:sz w:val="20"/>
                <w:lang w:val="en-GB"/>
              </w:rPr>
              <w:t>240 if supported</w:t>
            </w:r>
          </w:p>
        </w:tc>
      </w:tr>
      <w:tr w:rsidR="00FB22D7" w14:paraId="00539643" w14:textId="77777777" w:rsidTr="16512788">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703B4983"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Symbol duration [us]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802226"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66.7</w:t>
            </w:r>
          </w:p>
        </w:tc>
        <w:tc>
          <w:tcPr>
            <w:tcW w:w="802" w:type="dxa"/>
            <w:tcBorders>
              <w:top w:val="single" w:sz="4" w:space="0" w:color="auto"/>
              <w:left w:val="single" w:sz="4" w:space="0" w:color="auto"/>
              <w:bottom w:val="single" w:sz="4" w:space="0" w:color="auto"/>
              <w:right w:val="single" w:sz="4" w:space="0" w:color="auto"/>
            </w:tcBorders>
            <w:hideMark/>
          </w:tcPr>
          <w:p w14:paraId="27AAD383"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33.3</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811BE9"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16.7</w:t>
            </w:r>
          </w:p>
        </w:tc>
        <w:tc>
          <w:tcPr>
            <w:tcW w:w="866" w:type="dxa"/>
            <w:tcBorders>
              <w:top w:val="single" w:sz="4" w:space="0" w:color="auto"/>
              <w:left w:val="single" w:sz="4" w:space="0" w:color="auto"/>
              <w:bottom w:val="single" w:sz="4" w:space="0" w:color="auto"/>
              <w:right w:val="single" w:sz="4" w:space="0" w:color="auto"/>
            </w:tcBorders>
            <w:hideMark/>
          </w:tcPr>
          <w:p w14:paraId="771892E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8.33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4C7CEC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4.17</w:t>
            </w:r>
          </w:p>
        </w:tc>
      </w:tr>
      <w:tr w:rsidR="00FB22D7" w14:paraId="6BEC34DA" w14:textId="77777777" w:rsidTr="16512788">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21B83B25"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Nominal CP [us]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C1B3C4"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4.7</w:t>
            </w:r>
          </w:p>
        </w:tc>
        <w:tc>
          <w:tcPr>
            <w:tcW w:w="802" w:type="dxa"/>
            <w:tcBorders>
              <w:top w:val="single" w:sz="4" w:space="0" w:color="auto"/>
              <w:left w:val="single" w:sz="4" w:space="0" w:color="auto"/>
              <w:bottom w:val="single" w:sz="4" w:space="0" w:color="auto"/>
              <w:right w:val="single" w:sz="4" w:space="0" w:color="auto"/>
            </w:tcBorders>
            <w:hideMark/>
          </w:tcPr>
          <w:p w14:paraId="291A2658"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2.3</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3DC406"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1.2</w:t>
            </w:r>
          </w:p>
        </w:tc>
        <w:tc>
          <w:tcPr>
            <w:tcW w:w="866" w:type="dxa"/>
            <w:tcBorders>
              <w:top w:val="single" w:sz="4" w:space="0" w:color="auto"/>
              <w:left w:val="single" w:sz="4" w:space="0" w:color="auto"/>
              <w:bottom w:val="single" w:sz="4" w:space="0" w:color="auto"/>
              <w:right w:val="single" w:sz="4" w:space="0" w:color="auto"/>
            </w:tcBorders>
            <w:hideMark/>
          </w:tcPr>
          <w:p w14:paraId="3B961404"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0.59</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8A9E6B"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0.29</w:t>
            </w:r>
          </w:p>
        </w:tc>
      </w:tr>
      <w:tr w:rsidR="00FB22D7" w14:paraId="34EE90B2" w14:textId="77777777" w:rsidTr="16512788">
        <w:trPr>
          <w:jc w:val="center"/>
        </w:trPr>
        <w:tc>
          <w:tcPr>
            <w:tcW w:w="2153" w:type="dxa"/>
            <w:gridSpan w:val="2"/>
            <w:tcBorders>
              <w:top w:val="single" w:sz="4" w:space="0" w:color="auto"/>
              <w:left w:val="single" w:sz="4" w:space="0" w:color="auto"/>
              <w:bottom w:val="single" w:sz="4" w:space="0" w:color="auto"/>
              <w:right w:val="single" w:sz="4" w:space="0" w:color="auto"/>
            </w:tcBorders>
            <w:hideMark/>
          </w:tcPr>
          <w:p w14:paraId="5FB4820F"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Slot duration [symbols]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EE64D3"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14</w:t>
            </w:r>
          </w:p>
        </w:tc>
        <w:tc>
          <w:tcPr>
            <w:tcW w:w="802" w:type="dxa"/>
            <w:tcBorders>
              <w:top w:val="single" w:sz="4" w:space="0" w:color="auto"/>
              <w:left w:val="single" w:sz="4" w:space="0" w:color="auto"/>
              <w:bottom w:val="single" w:sz="4" w:space="0" w:color="auto"/>
              <w:right w:val="single" w:sz="4" w:space="0" w:color="auto"/>
            </w:tcBorders>
            <w:hideMark/>
          </w:tcPr>
          <w:p w14:paraId="169EB14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14</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045E64"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14</w:t>
            </w:r>
          </w:p>
        </w:tc>
        <w:tc>
          <w:tcPr>
            <w:tcW w:w="866" w:type="dxa"/>
            <w:tcBorders>
              <w:top w:val="single" w:sz="4" w:space="0" w:color="auto"/>
              <w:left w:val="single" w:sz="4" w:space="0" w:color="auto"/>
              <w:bottom w:val="single" w:sz="4" w:space="0" w:color="auto"/>
              <w:right w:val="single" w:sz="4" w:space="0" w:color="auto"/>
            </w:tcBorders>
            <w:hideMark/>
          </w:tcPr>
          <w:p w14:paraId="7FA5FB7D"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ADF076"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14</w:t>
            </w:r>
          </w:p>
        </w:tc>
      </w:tr>
      <w:tr w:rsidR="00FB22D7" w14:paraId="5DF9D0BC" w14:textId="77777777" w:rsidTr="16512788">
        <w:trPr>
          <w:jc w:val="center"/>
        </w:trPr>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F31CE7C"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Scheduling interval [ms]</w:t>
            </w:r>
          </w:p>
        </w:tc>
        <w:tc>
          <w:tcPr>
            <w:tcW w:w="1127" w:type="dxa"/>
            <w:tcBorders>
              <w:top w:val="single" w:sz="4" w:space="0" w:color="auto"/>
              <w:left w:val="single" w:sz="4" w:space="0" w:color="auto"/>
              <w:bottom w:val="single" w:sz="4" w:space="0" w:color="auto"/>
              <w:right w:val="single" w:sz="4" w:space="0" w:color="auto"/>
            </w:tcBorders>
            <w:hideMark/>
          </w:tcPr>
          <w:p w14:paraId="74CB525F"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AL: 1 slot</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23F2D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w:t>
            </w:r>
          </w:p>
        </w:tc>
        <w:tc>
          <w:tcPr>
            <w:tcW w:w="802" w:type="dxa"/>
            <w:tcBorders>
              <w:top w:val="single" w:sz="4" w:space="0" w:color="auto"/>
              <w:left w:val="single" w:sz="4" w:space="0" w:color="auto"/>
              <w:bottom w:val="single" w:sz="4" w:space="0" w:color="auto"/>
              <w:right w:val="single" w:sz="4" w:space="0" w:color="auto"/>
            </w:tcBorders>
            <w:hideMark/>
          </w:tcPr>
          <w:p w14:paraId="7928AE9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0.5</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BE1046"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0.25</w:t>
            </w:r>
          </w:p>
        </w:tc>
        <w:tc>
          <w:tcPr>
            <w:tcW w:w="866" w:type="dxa"/>
            <w:tcBorders>
              <w:top w:val="single" w:sz="4" w:space="0" w:color="auto"/>
              <w:left w:val="single" w:sz="4" w:space="0" w:color="auto"/>
              <w:bottom w:val="single" w:sz="4" w:space="0" w:color="auto"/>
              <w:right w:val="single" w:sz="4" w:space="0" w:color="auto"/>
            </w:tcBorders>
            <w:hideMark/>
          </w:tcPr>
          <w:p w14:paraId="1E832360" w14:textId="77777777" w:rsidR="00FB22D7" w:rsidRDefault="16512788" w:rsidP="16512788">
            <w:pPr>
              <w:pStyle w:val="00BodyText"/>
              <w:spacing w:after="0"/>
              <w:jc w:val="center"/>
              <w:rPr>
                <w:rFonts w:ascii="Times New Roman" w:hAnsi="Times New Roman"/>
                <w:color w:val="FF0000"/>
                <w:sz w:val="18"/>
                <w:szCs w:val="18"/>
                <w:lang w:val="en-GB"/>
              </w:rPr>
            </w:pPr>
            <w:r w:rsidRPr="16512788">
              <w:rPr>
                <w:rFonts w:ascii="Times New Roman" w:hAnsi="Times New Roman"/>
                <w:color w:val="FF0000"/>
                <w:sz w:val="18"/>
                <w:szCs w:val="18"/>
                <w:lang w:val="en-GB"/>
              </w:rPr>
              <w:t>0.125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F0DA77" w14:textId="77777777" w:rsidR="00FB22D7" w:rsidRDefault="16512788" w:rsidP="16512788">
            <w:pPr>
              <w:pStyle w:val="00BodyText"/>
              <w:spacing w:after="0"/>
              <w:jc w:val="center"/>
              <w:rPr>
                <w:rFonts w:ascii="Times New Roman" w:hAnsi="Times New Roman"/>
                <w:color w:val="FF0000"/>
                <w:sz w:val="18"/>
                <w:szCs w:val="18"/>
                <w:lang w:val="en-GB"/>
              </w:rPr>
            </w:pPr>
            <w:r w:rsidRPr="16512788">
              <w:rPr>
                <w:rFonts w:ascii="Times New Roman" w:hAnsi="Times New Roman"/>
                <w:color w:val="FF0000"/>
                <w:sz w:val="18"/>
                <w:szCs w:val="18"/>
                <w:lang w:val="en-GB"/>
              </w:rPr>
              <w:t>0.0625</w:t>
            </w:r>
          </w:p>
        </w:tc>
      </w:tr>
      <w:tr w:rsidR="00FB22D7" w14:paraId="1CCCCFC3" w14:textId="77777777" w:rsidTr="165127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9D67"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8A861D7"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AL: 2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BE64BF"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2</w:t>
            </w:r>
          </w:p>
        </w:tc>
        <w:tc>
          <w:tcPr>
            <w:tcW w:w="802" w:type="dxa"/>
            <w:tcBorders>
              <w:top w:val="single" w:sz="4" w:space="0" w:color="auto"/>
              <w:left w:val="single" w:sz="4" w:space="0" w:color="auto"/>
              <w:bottom w:val="single" w:sz="4" w:space="0" w:color="auto"/>
              <w:right w:val="single" w:sz="4" w:space="0" w:color="auto"/>
            </w:tcBorders>
            <w:hideMark/>
          </w:tcPr>
          <w:p w14:paraId="192BE61B"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2750E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0.5</w:t>
            </w:r>
          </w:p>
        </w:tc>
        <w:tc>
          <w:tcPr>
            <w:tcW w:w="866" w:type="dxa"/>
            <w:tcBorders>
              <w:top w:val="single" w:sz="4" w:space="0" w:color="auto"/>
              <w:left w:val="single" w:sz="4" w:space="0" w:color="auto"/>
              <w:bottom w:val="single" w:sz="4" w:space="0" w:color="auto"/>
              <w:right w:val="single" w:sz="4" w:space="0" w:color="auto"/>
            </w:tcBorders>
            <w:hideMark/>
          </w:tcPr>
          <w:p w14:paraId="3356B4F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0.25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69FAF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0.125</w:t>
            </w:r>
          </w:p>
        </w:tc>
      </w:tr>
      <w:tr w:rsidR="00FB22D7" w14:paraId="7F584A18" w14:textId="77777777" w:rsidTr="165127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2801"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64AA918"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AL: 4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45EBF1"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4</w:t>
            </w:r>
          </w:p>
        </w:tc>
        <w:tc>
          <w:tcPr>
            <w:tcW w:w="802" w:type="dxa"/>
            <w:tcBorders>
              <w:top w:val="single" w:sz="4" w:space="0" w:color="auto"/>
              <w:left w:val="single" w:sz="4" w:space="0" w:color="auto"/>
              <w:bottom w:val="single" w:sz="4" w:space="0" w:color="auto"/>
              <w:right w:val="single" w:sz="4" w:space="0" w:color="auto"/>
            </w:tcBorders>
            <w:hideMark/>
          </w:tcPr>
          <w:p w14:paraId="7A793784"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2</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53C149"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w:t>
            </w:r>
          </w:p>
        </w:tc>
        <w:tc>
          <w:tcPr>
            <w:tcW w:w="866" w:type="dxa"/>
            <w:tcBorders>
              <w:top w:val="single" w:sz="4" w:space="0" w:color="auto"/>
              <w:left w:val="single" w:sz="4" w:space="0" w:color="auto"/>
              <w:bottom w:val="single" w:sz="4" w:space="0" w:color="auto"/>
              <w:right w:val="single" w:sz="4" w:space="0" w:color="auto"/>
            </w:tcBorders>
            <w:hideMark/>
          </w:tcPr>
          <w:p w14:paraId="032ACA97"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0.5</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AAB7C2"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0.25</w:t>
            </w:r>
          </w:p>
        </w:tc>
      </w:tr>
      <w:tr w:rsidR="00FB22D7" w14:paraId="7FBA63AA" w14:textId="77777777" w:rsidTr="165127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F6989"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45209F7C"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AL: 8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3357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8</w:t>
            </w:r>
          </w:p>
        </w:tc>
        <w:tc>
          <w:tcPr>
            <w:tcW w:w="802" w:type="dxa"/>
            <w:tcBorders>
              <w:top w:val="single" w:sz="4" w:space="0" w:color="auto"/>
              <w:left w:val="single" w:sz="4" w:space="0" w:color="auto"/>
              <w:bottom w:val="single" w:sz="4" w:space="0" w:color="auto"/>
              <w:right w:val="single" w:sz="4" w:space="0" w:color="auto"/>
            </w:tcBorders>
            <w:hideMark/>
          </w:tcPr>
          <w:p w14:paraId="1D779CEE"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4</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CC29D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2</w:t>
            </w:r>
          </w:p>
        </w:tc>
        <w:tc>
          <w:tcPr>
            <w:tcW w:w="866" w:type="dxa"/>
            <w:tcBorders>
              <w:top w:val="single" w:sz="4" w:space="0" w:color="auto"/>
              <w:left w:val="single" w:sz="4" w:space="0" w:color="auto"/>
              <w:bottom w:val="single" w:sz="4" w:space="0" w:color="auto"/>
              <w:right w:val="single" w:sz="4" w:space="0" w:color="auto"/>
            </w:tcBorders>
            <w:hideMark/>
          </w:tcPr>
          <w:p w14:paraId="036E96C5"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9ABFBC"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0.5</w:t>
            </w:r>
          </w:p>
        </w:tc>
      </w:tr>
      <w:tr w:rsidR="00FB22D7" w14:paraId="3A4B7822" w14:textId="77777777" w:rsidTr="165127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E5ED4" w14:textId="77777777" w:rsidR="00FB22D7" w:rsidRDefault="00FB22D7" w:rsidP="00C95609">
            <w:pPr>
              <w:spacing w:after="0"/>
              <w:rPr>
                <w:rFonts w:eastAsiaTheme="minorHAnsi" w:cstheme="minorBidi"/>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6CD8BE69" w14:textId="77777777" w:rsidR="00FB22D7" w:rsidRDefault="16512788" w:rsidP="16512788">
            <w:pPr>
              <w:pStyle w:val="00BodyText"/>
              <w:spacing w:after="0"/>
              <w:rPr>
                <w:rFonts w:ascii="Times New Roman" w:hAnsi="Times New Roman"/>
                <w:sz w:val="18"/>
                <w:szCs w:val="18"/>
                <w:lang w:val="en-GB"/>
              </w:rPr>
            </w:pPr>
            <w:r w:rsidRPr="16512788">
              <w:rPr>
                <w:rFonts w:ascii="Times New Roman" w:hAnsi="Times New Roman"/>
                <w:sz w:val="18"/>
                <w:szCs w:val="18"/>
                <w:lang w:val="en-GB"/>
              </w:rPr>
              <w:t>AL: 16 slots</w:t>
            </w:r>
          </w:p>
        </w:tc>
        <w:tc>
          <w:tcPr>
            <w:tcW w:w="6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0DA25A"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16</w:t>
            </w:r>
          </w:p>
        </w:tc>
        <w:tc>
          <w:tcPr>
            <w:tcW w:w="802" w:type="dxa"/>
            <w:tcBorders>
              <w:top w:val="single" w:sz="4" w:space="0" w:color="auto"/>
              <w:left w:val="single" w:sz="4" w:space="0" w:color="auto"/>
              <w:bottom w:val="single" w:sz="4" w:space="0" w:color="auto"/>
              <w:right w:val="single" w:sz="4" w:space="0" w:color="auto"/>
            </w:tcBorders>
            <w:hideMark/>
          </w:tcPr>
          <w:p w14:paraId="701A3939"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8</w:t>
            </w:r>
          </w:p>
        </w:tc>
        <w:tc>
          <w:tcPr>
            <w:tcW w:w="8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123A71"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4</w:t>
            </w:r>
          </w:p>
        </w:tc>
        <w:tc>
          <w:tcPr>
            <w:tcW w:w="866" w:type="dxa"/>
            <w:tcBorders>
              <w:top w:val="single" w:sz="4" w:space="0" w:color="auto"/>
              <w:left w:val="single" w:sz="4" w:space="0" w:color="auto"/>
              <w:bottom w:val="single" w:sz="4" w:space="0" w:color="auto"/>
              <w:right w:val="single" w:sz="4" w:space="0" w:color="auto"/>
            </w:tcBorders>
            <w:hideMark/>
          </w:tcPr>
          <w:p w14:paraId="0B58C8E9"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204D89" w14:textId="77777777" w:rsidR="00FB22D7" w:rsidRDefault="16512788" w:rsidP="16512788">
            <w:pPr>
              <w:pStyle w:val="00BodyText"/>
              <w:spacing w:after="0"/>
              <w:jc w:val="center"/>
              <w:rPr>
                <w:rFonts w:ascii="Times New Roman" w:hAnsi="Times New Roman"/>
                <w:sz w:val="18"/>
                <w:szCs w:val="18"/>
                <w:lang w:val="en-GB"/>
              </w:rPr>
            </w:pPr>
            <w:r w:rsidRPr="16512788">
              <w:rPr>
                <w:rFonts w:ascii="Times New Roman" w:hAnsi="Times New Roman"/>
                <w:sz w:val="18"/>
                <w:szCs w:val="18"/>
                <w:lang w:val="en-GB"/>
              </w:rPr>
              <w:t>1</w:t>
            </w:r>
          </w:p>
        </w:tc>
      </w:tr>
    </w:tbl>
    <w:p w14:paraId="7C4C7163" w14:textId="77777777" w:rsidR="00FB22D7" w:rsidRDefault="00FB22D7" w:rsidP="00FB22D7">
      <w:pPr>
        <w:rPr>
          <w:rFonts w:asciiTheme="minorHAnsi" w:eastAsiaTheme="minorHAnsi" w:hAnsiTheme="minorHAnsi" w:cstheme="minorBidi"/>
          <w:sz w:val="22"/>
          <w:szCs w:val="22"/>
          <w:lang w:val="fi-FI"/>
        </w:rPr>
      </w:pPr>
    </w:p>
    <w:bookmarkEnd w:id="1"/>
    <w:bookmarkEnd w:id="2"/>
    <w:p w14:paraId="1BA6D648" w14:textId="77777777" w:rsidR="00FB22D7" w:rsidRDefault="16512788" w:rsidP="00FB22D7">
      <w:pPr>
        <w:jc w:val="both"/>
      </w:pPr>
      <w:r>
        <w:t>If 240 kHz SCS is adopted, the shortest TDD UL/DL switching interval without aggregation of slots would be 62.5 us (16 kHz switch rate). If the current RAN4 agreement holds and 240 kHz is not introduced for data, then the shortest TDD DL/UL switching interval is 125 us (8 kHz switch rate) with 120 kHz SCS and 14-symbol slot.</w:t>
      </w:r>
    </w:p>
    <w:p w14:paraId="6A77509C" w14:textId="3B84F36B" w:rsidR="00FB22D7" w:rsidRPr="00C95609" w:rsidRDefault="16512788" w:rsidP="16512788">
      <w:pPr>
        <w:jc w:val="both"/>
        <w:rPr>
          <w:i/>
          <w:iCs/>
        </w:rPr>
      </w:pPr>
      <w:r w:rsidRPr="16512788">
        <w:rPr>
          <w:b/>
          <w:bCs/>
          <w:i/>
          <w:iCs/>
        </w:rPr>
        <w:t xml:space="preserve">Proposal 9: </w:t>
      </w:r>
      <w:r w:rsidRPr="16512788">
        <w:rPr>
          <w:i/>
          <w:iCs/>
        </w:rPr>
        <w:t xml:space="preserve">In TDD operation, the maximum DL/UL switching rate is 8 kHz, and there is at most one DL/UL switch within a minimum scheduling interval for slot-based scheduling. I.e. if SCS of 240 kHz or higher is introduced, then slot aggregation is required.  </w:t>
      </w:r>
    </w:p>
    <w:p w14:paraId="7E5C634F" w14:textId="77777777" w:rsidR="00FB22D7" w:rsidRPr="003524A1" w:rsidRDefault="16512788" w:rsidP="00FB22D7">
      <w:pPr>
        <w:jc w:val="both"/>
      </w:pPr>
      <w:r>
        <w:t>In addition, it is also possible to support slot aggregation over multiple of the minimum scheduling interval, potentially with up to one DL/UL switching point in each minimum scheduling interval. However, the number of slots to aggregate should remain reasonable. E.g. aggregation level 16 with 14-symbol slot leads to 224 symbols in a scheduling unit. Such long durations may be beneficial for some special cases, e.g. extreme coverage, but in general cases lead to excessively large scheduling unit and reduced flexibility/efficiency in scheduling and not really justified with overhead reduction.</w:t>
      </w:r>
    </w:p>
    <w:p w14:paraId="395ACA75" w14:textId="289DC2AF" w:rsidR="00FB22D7" w:rsidRPr="00C95609" w:rsidRDefault="16512788" w:rsidP="16512788">
      <w:pPr>
        <w:jc w:val="both"/>
        <w:rPr>
          <w:i/>
          <w:iCs/>
        </w:rPr>
      </w:pPr>
      <w:r w:rsidRPr="16512788">
        <w:rPr>
          <w:b/>
          <w:bCs/>
          <w:i/>
          <w:iCs/>
        </w:rPr>
        <w:t xml:space="preserve">Proposal 10: </w:t>
      </w:r>
      <w:r w:rsidRPr="16512788">
        <w:rPr>
          <w:i/>
          <w:iCs/>
        </w:rPr>
        <w:t>A slot-aggregate consist of 1, 2, 4 or 8 slots with the possibility to extend it to larger values in the future.</w:t>
      </w:r>
    </w:p>
    <w:p w14:paraId="6B15AE9D" w14:textId="77777777" w:rsidR="00FB22D7" w:rsidRDefault="00FB22D7" w:rsidP="00FB22D7">
      <w:pPr>
        <w:pStyle w:val="Heading1"/>
      </w:pPr>
      <w:r>
        <w:rPr>
          <w:color w:val="000000"/>
        </w:rPr>
        <w:t>4</w:t>
      </w:r>
      <w:r>
        <w:rPr>
          <w:color w:val="000000"/>
        </w:rPr>
        <w:tab/>
      </w:r>
      <w:r>
        <w:t xml:space="preserve">Time domain resource allocation </w:t>
      </w:r>
    </w:p>
    <w:p w14:paraId="39D89B25" w14:textId="723E21A1" w:rsidR="00FB22D7" w:rsidRPr="000717FB" w:rsidRDefault="00FB22D7" w:rsidP="16512788">
      <w:pPr>
        <w:pStyle w:val="Heading2"/>
        <w:rPr>
          <w:rFonts w:cs="Arial"/>
        </w:rPr>
      </w:pPr>
      <w:r w:rsidRPr="16512788">
        <w:rPr>
          <w:rFonts w:cs="Arial"/>
          <w:lang w:eastAsia="zh-CN"/>
        </w:rPr>
        <w:t>4</w:t>
      </w:r>
      <w:r w:rsidRPr="16512788">
        <w:rPr>
          <w:rFonts w:cs="Arial"/>
        </w:rPr>
        <w:t>.</w:t>
      </w:r>
      <w:r w:rsidRPr="16512788">
        <w:rPr>
          <w:rFonts w:cs="Arial"/>
          <w:lang w:eastAsia="zh-CN"/>
        </w:rPr>
        <w:t>1</w:t>
      </w:r>
      <w:r w:rsidRPr="000717FB">
        <w:rPr>
          <w:rFonts w:cs="Arial"/>
        </w:rPr>
        <w:tab/>
      </w:r>
      <w:r w:rsidRPr="16512788">
        <w:rPr>
          <w:rFonts w:cs="Arial"/>
        </w:rPr>
        <w:t>Timing indi</w:t>
      </w:r>
      <w:r w:rsidR="005E7E1B" w:rsidRPr="16512788">
        <w:rPr>
          <w:rFonts w:cs="Arial"/>
        </w:rPr>
        <w:t>c</w:t>
      </w:r>
      <w:r w:rsidRPr="16512788">
        <w:rPr>
          <w:rFonts w:cs="Arial"/>
        </w:rPr>
        <w:t>ation before RRC configuration establishment</w:t>
      </w:r>
    </w:p>
    <w:p w14:paraId="45C4B9AD" w14:textId="77777777" w:rsidR="00FB22D7" w:rsidRDefault="16512788" w:rsidP="00FB22D7">
      <w:pPr>
        <w:spacing w:after="0"/>
        <w:rPr>
          <w:lang w:eastAsia="x-none"/>
        </w:rPr>
      </w:pPr>
      <w:r>
        <w:t>An open issue related to dynamic scheduling timing indication involving higher layer configuration is the operation in the cases when RRC connection has not yet been established. Obviously, PUSCH/PDSCH scheduling is based on slot level granularity at this phase.</w:t>
      </w:r>
    </w:p>
    <w:p w14:paraId="2713F685" w14:textId="77777777" w:rsidR="00FB22D7" w:rsidRDefault="00FB22D7" w:rsidP="00FB22D7">
      <w:pPr>
        <w:spacing w:after="0"/>
        <w:rPr>
          <w:lang w:eastAsia="x-none"/>
        </w:rPr>
      </w:pPr>
    </w:p>
    <w:p w14:paraId="43E50988" w14:textId="77777777" w:rsidR="00FB22D7" w:rsidRDefault="16512788" w:rsidP="16512788">
      <w:pPr>
        <w:spacing w:after="0"/>
        <w:rPr>
          <w:rFonts w:eastAsiaTheme="minorEastAsia"/>
        </w:rPr>
      </w:pPr>
      <w:r>
        <w:t xml:space="preserve">For PDSCH scheduling, it seems to be a sufficient solution to define K0=0 in this case. In other words, </w:t>
      </w:r>
      <w:r w:rsidRPr="16512788">
        <w:rPr>
          <w:rFonts w:eastAsia="MS Mincho"/>
          <w:lang w:eastAsia="ja-JP"/>
        </w:rPr>
        <w:t>DL assignment and corresponding DL data are conveyed in the same slot. This is also inline with agreement made in RAN1#89: “</w:t>
      </w:r>
      <w:r w:rsidRPr="16512788">
        <w:rPr>
          <w:rFonts w:eastAsia="MS Mincho"/>
          <w:i/>
          <w:iCs/>
          <w:lang w:eastAsia="ja-JP"/>
        </w:rPr>
        <w:t>All Rel. 15 UE supports minimum value of K0 equal to 0, i.e., DL assignment and the scheduled DL data are in the same slot.”</w:t>
      </w:r>
    </w:p>
    <w:p w14:paraId="44AB8F9B" w14:textId="77777777" w:rsidR="00FB22D7" w:rsidRDefault="00FB22D7" w:rsidP="00FB22D7">
      <w:pPr>
        <w:spacing w:after="0"/>
        <w:rPr>
          <w:lang w:eastAsia="x-none"/>
        </w:rPr>
      </w:pPr>
    </w:p>
    <w:p w14:paraId="04B1080D" w14:textId="29D37E65" w:rsidR="00FB22D7" w:rsidRPr="00C95609" w:rsidRDefault="16512788" w:rsidP="16512788">
      <w:pPr>
        <w:spacing w:after="0"/>
        <w:rPr>
          <w:rFonts w:eastAsia="MS Mincho"/>
          <w:i/>
          <w:iCs/>
          <w:lang w:eastAsia="ja-JP"/>
        </w:rPr>
      </w:pPr>
      <w:r w:rsidRPr="16512788">
        <w:rPr>
          <w:rFonts w:eastAsia="MS Mincho"/>
          <w:b/>
          <w:bCs/>
          <w:i/>
          <w:iCs/>
          <w:lang w:eastAsia="ja-JP"/>
        </w:rPr>
        <w:t xml:space="preserve">Proposal 11: </w:t>
      </w:r>
      <w:r w:rsidRPr="16512788">
        <w:rPr>
          <w:rFonts w:eastAsia="MS Mincho"/>
          <w:i/>
          <w:iCs/>
          <w:lang w:eastAsia="ja-JP"/>
        </w:rPr>
        <w:t>Consider a fixed value K0=0, for the case when the timings are unknown to UE.</w:t>
      </w:r>
    </w:p>
    <w:p w14:paraId="168E8CED" w14:textId="77777777" w:rsidR="00FB22D7" w:rsidRPr="00C95609" w:rsidRDefault="00FB22D7" w:rsidP="00FB22D7">
      <w:pPr>
        <w:spacing w:after="0"/>
        <w:jc w:val="both"/>
        <w:rPr>
          <w:rFonts w:eastAsia="MS Mincho"/>
          <w:i/>
          <w:lang w:eastAsia="ja-JP"/>
        </w:rPr>
      </w:pPr>
    </w:p>
    <w:p w14:paraId="75C12E65" w14:textId="77777777" w:rsidR="00FB22D7" w:rsidRDefault="16512788" w:rsidP="16512788">
      <w:pPr>
        <w:spacing w:after="0"/>
        <w:rPr>
          <w:rFonts w:eastAsia="MS Mincho"/>
          <w:sz w:val="18"/>
          <w:szCs w:val="18"/>
          <w:lang w:eastAsia="ja-JP"/>
        </w:rPr>
      </w:pPr>
      <w:r>
        <w:t xml:space="preserve">For PUSCH case, the timing must be defined according to a conservative approach since the gNB is not aware of the processing capability of the UE. </w:t>
      </w:r>
      <w:r w:rsidRPr="16512788">
        <w:rPr>
          <w:rFonts w:eastAsia="MS Mincho"/>
          <w:lang w:eastAsia="ja-JP"/>
        </w:rPr>
        <w:t xml:space="preserve">For timing relationships </w:t>
      </w:r>
      <w:r w:rsidRPr="16512788">
        <w:rPr>
          <w:rFonts w:eastAsia="MS Mincho"/>
          <w:b/>
          <w:bCs/>
          <w:i/>
          <w:iCs/>
          <w:lang w:eastAsia="ja-JP"/>
        </w:rPr>
        <w:t>K2</w:t>
      </w:r>
      <w:r w:rsidRPr="16512788">
        <w:rPr>
          <w:rFonts w:eastAsia="MS Mincho"/>
          <w:lang w:eastAsia="ja-JP"/>
        </w:rPr>
        <w:t>, there are three options:</w:t>
      </w:r>
    </w:p>
    <w:p w14:paraId="0F1DD1C7" w14:textId="77777777" w:rsidR="00FB22D7" w:rsidRPr="0052773A" w:rsidRDefault="141204DA" w:rsidP="141204DA">
      <w:pPr>
        <w:pStyle w:val="ListParagraph"/>
        <w:numPr>
          <w:ilvl w:val="0"/>
          <w:numId w:val="11"/>
        </w:numPr>
        <w:spacing w:line="254" w:lineRule="auto"/>
        <w:rPr>
          <w:rFonts w:eastAsiaTheme="minorEastAsia"/>
          <w:sz w:val="20"/>
          <w:szCs w:val="20"/>
          <w:lang w:val="en-US"/>
        </w:rPr>
      </w:pPr>
      <w:r w:rsidRPr="141204DA">
        <w:rPr>
          <w:sz w:val="20"/>
          <w:szCs w:val="20"/>
          <w:u w:val="single"/>
          <w:lang w:val="en-US"/>
        </w:rPr>
        <w:t>Option #1:</w:t>
      </w:r>
      <w:r w:rsidRPr="141204DA">
        <w:rPr>
          <w:sz w:val="20"/>
          <w:szCs w:val="20"/>
          <w:lang w:val="en-US"/>
        </w:rPr>
        <w:t xml:space="preserve"> A single value for both K2 is defined according to a conservative UE processing time. For example, it can be defined that K2=3 or 4 (slots)    </w:t>
      </w:r>
    </w:p>
    <w:p w14:paraId="06058727" w14:textId="77777777" w:rsidR="00FB22D7" w:rsidRDefault="141204DA" w:rsidP="141204DA">
      <w:pPr>
        <w:pStyle w:val="ListParagraph"/>
        <w:numPr>
          <w:ilvl w:val="0"/>
          <w:numId w:val="11"/>
        </w:numPr>
        <w:spacing w:line="254" w:lineRule="auto"/>
        <w:rPr>
          <w:sz w:val="20"/>
          <w:szCs w:val="20"/>
        </w:rPr>
      </w:pPr>
      <w:r w:rsidRPr="141204DA">
        <w:rPr>
          <w:sz w:val="20"/>
          <w:szCs w:val="20"/>
          <w:u w:val="single"/>
          <w:lang w:val="en-US"/>
        </w:rPr>
        <w:t>Option #2:</w:t>
      </w:r>
      <w:r w:rsidRPr="141204DA">
        <w:rPr>
          <w:sz w:val="20"/>
          <w:szCs w:val="20"/>
          <w:lang w:val="en-US"/>
        </w:rPr>
        <w:t xml:space="preserve"> A set of values for K2 is defined according to a conservative UE processing time. </w:t>
      </w:r>
      <w:r w:rsidRPr="141204DA">
        <w:rPr>
          <w:sz w:val="20"/>
          <w:szCs w:val="20"/>
        </w:rPr>
        <w:t>For example, it can be defined that K2= [3, 4, 5, 6] (slots)</w:t>
      </w:r>
    </w:p>
    <w:p w14:paraId="1D1E9E10" w14:textId="7A03B95E" w:rsidR="00FB22D7" w:rsidRPr="0052773A" w:rsidRDefault="141204DA" w:rsidP="141204DA">
      <w:pPr>
        <w:pStyle w:val="ListParagraph"/>
        <w:numPr>
          <w:ilvl w:val="0"/>
          <w:numId w:val="11"/>
        </w:numPr>
        <w:spacing w:line="254" w:lineRule="auto"/>
        <w:rPr>
          <w:sz w:val="20"/>
          <w:szCs w:val="20"/>
          <w:lang w:val="en-US"/>
        </w:rPr>
      </w:pPr>
      <w:r w:rsidRPr="141204DA">
        <w:rPr>
          <w:sz w:val="20"/>
          <w:szCs w:val="20"/>
          <w:u w:val="single"/>
          <w:lang w:val="en-US"/>
        </w:rPr>
        <w:t>Option #3:</w:t>
      </w:r>
      <w:r w:rsidRPr="141204DA">
        <w:rPr>
          <w:sz w:val="20"/>
          <w:szCs w:val="20"/>
          <w:lang w:val="en-US"/>
        </w:rPr>
        <w:t xml:space="preserve"> A single value or a set of values for K2 is configured by RMSI. </w:t>
      </w:r>
    </w:p>
    <w:p w14:paraId="3AA29CD0" w14:textId="77777777" w:rsidR="00FB22D7" w:rsidRDefault="00FB22D7" w:rsidP="00FB22D7">
      <w:pPr>
        <w:spacing w:after="0"/>
        <w:rPr>
          <w:sz w:val="22"/>
          <w:lang w:eastAsia="x-none"/>
        </w:rPr>
      </w:pPr>
    </w:p>
    <w:p w14:paraId="0B66989B" w14:textId="77777777" w:rsidR="00FB22D7" w:rsidRDefault="16512788" w:rsidP="00FB22D7">
      <w:pPr>
        <w:spacing w:after="0"/>
        <w:rPr>
          <w:lang w:eastAsia="x-none"/>
        </w:rPr>
      </w:pPr>
      <w:r>
        <w:t>The benefit of Option #1 is that it does not require additional signalling bits in DL/UL grants. On the other hand, Option #2 would facilitate TDD operation in a flexible manner minimizing the gNB scheduler restrctions also for UEs without RRC connection. Option #3 provides configurability for K2 at the expense of increased signalling overhead. We think that sufficient degree of flexibility is achieved already by a predefined set of values. Based on that we make the following proposal (according to Option #2):</w:t>
      </w:r>
    </w:p>
    <w:p w14:paraId="79F918E5" w14:textId="77777777" w:rsidR="00FB22D7" w:rsidRDefault="00FB22D7" w:rsidP="00FB22D7">
      <w:pPr>
        <w:spacing w:after="0"/>
        <w:rPr>
          <w:rFonts w:asciiTheme="minorHAnsi" w:hAnsiTheme="minorHAnsi" w:cstheme="minorBidi"/>
          <w:lang w:eastAsia="x-none"/>
        </w:rPr>
      </w:pPr>
    </w:p>
    <w:p w14:paraId="643CF7EF" w14:textId="7BECACAD" w:rsidR="00FB22D7" w:rsidRPr="00C95609" w:rsidRDefault="16512788" w:rsidP="16512788">
      <w:pPr>
        <w:spacing w:after="0"/>
        <w:rPr>
          <w:rFonts w:eastAsia="MS Mincho"/>
          <w:i/>
          <w:iCs/>
          <w:lang w:eastAsia="ja-JP"/>
        </w:rPr>
      </w:pPr>
      <w:r w:rsidRPr="16512788">
        <w:rPr>
          <w:rFonts w:eastAsia="MS Mincho"/>
          <w:b/>
          <w:bCs/>
          <w:i/>
          <w:iCs/>
          <w:lang w:eastAsia="ja-JP"/>
        </w:rPr>
        <w:t xml:space="preserve">Proposal 12: </w:t>
      </w:r>
      <w:r w:rsidRPr="16512788">
        <w:rPr>
          <w:rFonts w:eastAsia="MS Mincho"/>
          <w:i/>
          <w:iCs/>
          <w:lang w:eastAsia="ja-JP"/>
        </w:rPr>
        <w:t>Consider a predefined set of values for dynamic indication of K2 for the case when the timings are unknown to UE.</w:t>
      </w:r>
    </w:p>
    <w:p w14:paraId="36FADD64" w14:textId="77777777" w:rsidR="00FB22D7" w:rsidRPr="00C95609" w:rsidRDefault="00FB22D7" w:rsidP="00FB22D7">
      <w:pPr>
        <w:spacing w:after="0"/>
        <w:jc w:val="both"/>
        <w:rPr>
          <w:rFonts w:eastAsia="MS Mincho"/>
          <w:i/>
          <w:lang w:eastAsia="ja-JP"/>
        </w:rPr>
      </w:pPr>
    </w:p>
    <w:p w14:paraId="301A8A4F" w14:textId="1A0084A3" w:rsidR="0029537E" w:rsidRPr="000717FB" w:rsidRDefault="0029537E" w:rsidP="16512788">
      <w:pPr>
        <w:pStyle w:val="Heading2"/>
        <w:rPr>
          <w:rFonts w:cs="Arial"/>
        </w:rPr>
      </w:pPr>
      <w:r w:rsidRPr="16512788">
        <w:rPr>
          <w:rFonts w:cs="Arial"/>
          <w:lang w:eastAsia="zh-CN"/>
        </w:rPr>
        <w:t>4</w:t>
      </w:r>
      <w:r w:rsidRPr="16512788">
        <w:rPr>
          <w:rFonts w:cs="Arial"/>
        </w:rPr>
        <w:t>.</w:t>
      </w:r>
      <w:r w:rsidRPr="16512788">
        <w:rPr>
          <w:rFonts w:cs="Arial"/>
          <w:lang w:eastAsia="zh-CN"/>
        </w:rPr>
        <w:t>2</w:t>
      </w:r>
      <w:r w:rsidRPr="000717FB">
        <w:rPr>
          <w:rFonts w:cs="Arial"/>
        </w:rPr>
        <w:tab/>
      </w:r>
      <w:r w:rsidRPr="16512788">
        <w:rPr>
          <w:rFonts w:cs="Arial"/>
        </w:rPr>
        <w:t xml:space="preserve">PDSCH/PUSCH </w:t>
      </w:r>
      <w:r w:rsidR="00AB4F0F" w:rsidRPr="16512788">
        <w:rPr>
          <w:rFonts w:cs="Arial"/>
        </w:rPr>
        <w:t>allocation within slot</w:t>
      </w:r>
    </w:p>
    <w:p w14:paraId="5B3BFD77" w14:textId="2111DFDA" w:rsidR="008B72EC" w:rsidRDefault="141204DA" w:rsidP="141204DA">
      <w:pPr>
        <w:overflowPunct/>
        <w:autoSpaceDE/>
        <w:autoSpaceDN/>
        <w:adjustRightInd/>
        <w:spacing w:before="100" w:beforeAutospacing="1" w:after="60"/>
        <w:textAlignment w:val="auto"/>
        <w:rPr>
          <w:lang w:val="en-US"/>
        </w:rPr>
      </w:pPr>
      <w:r w:rsidRPr="141204DA">
        <w:rPr>
          <w:lang w:val="en-US"/>
        </w:rPr>
        <w:t>For slot based operation, PDSCH or PUSCH occupies almost the entire slot. It should be possible to indicate PDSCH or PUSCH starting/ending position within slot with symbol level resolution. The number of symbols available for PDSCH or PUSCH varies according to the scenario:</w:t>
      </w:r>
    </w:p>
    <w:p w14:paraId="58905DD7" w14:textId="77777777" w:rsidR="008B72EC" w:rsidRDefault="141204DA" w:rsidP="141204DA">
      <w:pPr>
        <w:pStyle w:val="ListParagraph"/>
        <w:numPr>
          <w:ilvl w:val="0"/>
          <w:numId w:val="10"/>
        </w:numPr>
        <w:rPr>
          <w:sz w:val="20"/>
          <w:szCs w:val="20"/>
          <w:lang w:val="en-US"/>
        </w:rPr>
      </w:pPr>
      <w:r w:rsidRPr="141204DA">
        <w:rPr>
          <w:sz w:val="20"/>
          <w:szCs w:val="20"/>
          <w:lang w:val="en-US"/>
        </w:rPr>
        <w:t>The slot type: Bi-directional vs. One-directional</w:t>
      </w:r>
    </w:p>
    <w:p w14:paraId="356CE8F5" w14:textId="77777777" w:rsidR="008B72EC" w:rsidRDefault="141204DA" w:rsidP="141204DA">
      <w:pPr>
        <w:pStyle w:val="ListParagraph"/>
        <w:numPr>
          <w:ilvl w:val="0"/>
          <w:numId w:val="10"/>
        </w:numPr>
        <w:rPr>
          <w:sz w:val="20"/>
          <w:szCs w:val="20"/>
          <w:lang w:val="en-US"/>
        </w:rPr>
      </w:pPr>
      <w:r w:rsidRPr="141204DA">
        <w:rPr>
          <w:sz w:val="20"/>
          <w:szCs w:val="20"/>
          <w:lang w:val="en-US"/>
        </w:rPr>
        <w:t>The number of symbols/slot allocated to PDCCH</w:t>
      </w:r>
    </w:p>
    <w:p w14:paraId="2E31CF67" w14:textId="77777777" w:rsidR="008B72EC" w:rsidRDefault="141204DA" w:rsidP="141204DA">
      <w:pPr>
        <w:pStyle w:val="ListParagraph"/>
        <w:numPr>
          <w:ilvl w:val="0"/>
          <w:numId w:val="10"/>
        </w:numPr>
        <w:rPr>
          <w:sz w:val="20"/>
          <w:szCs w:val="20"/>
          <w:lang w:val="en-US"/>
        </w:rPr>
      </w:pPr>
      <w:r w:rsidRPr="141204DA">
        <w:rPr>
          <w:sz w:val="20"/>
          <w:szCs w:val="20"/>
          <w:lang w:val="en-US"/>
        </w:rPr>
        <w:t>The number of symbols/slot allocated to short PUCCH (and/or SRS)</w:t>
      </w:r>
    </w:p>
    <w:p w14:paraId="47EE786F" w14:textId="77777777" w:rsidR="008B72EC" w:rsidRPr="006520EB" w:rsidRDefault="141204DA" w:rsidP="141204DA">
      <w:pPr>
        <w:pStyle w:val="ListParagraph"/>
        <w:numPr>
          <w:ilvl w:val="0"/>
          <w:numId w:val="10"/>
        </w:numPr>
        <w:rPr>
          <w:sz w:val="20"/>
          <w:szCs w:val="20"/>
          <w:lang w:val="en-US"/>
        </w:rPr>
      </w:pPr>
      <w:r w:rsidRPr="141204DA">
        <w:rPr>
          <w:sz w:val="20"/>
          <w:szCs w:val="20"/>
          <w:lang w:val="en-US"/>
        </w:rPr>
        <w:t>The number of symbols/slot allocated to guard period.</w:t>
      </w:r>
    </w:p>
    <w:p w14:paraId="3701AD4F" w14:textId="20ED1691" w:rsidR="00A92066" w:rsidRDefault="141204DA" w:rsidP="141204DA">
      <w:pPr>
        <w:overflowPunct/>
        <w:autoSpaceDE/>
        <w:autoSpaceDN/>
        <w:adjustRightInd/>
        <w:spacing w:before="100" w:beforeAutospacing="1" w:after="60"/>
        <w:textAlignment w:val="auto"/>
        <w:rPr>
          <w:lang w:val="en-US"/>
        </w:rPr>
      </w:pPr>
      <w:r w:rsidRPr="141204DA">
        <w:rPr>
          <w:lang w:val="en-US"/>
        </w:rPr>
        <w:t>Sufficient flexibility can be achieved by configuring the possible starting/ending OFDM symbol by means of RRC. PDSCH and PUSCH require separate configuratinos. In order to minimize the DCI overhead, it should be possible to indicate both starting and ending symbol with singe a index configured by RRC. The selected index can be seen as a form of slot format for the corresponding slot.</w:t>
      </w:r>
    </w:p>
    <w:p w14:paraId="428778BD" w14:textId="77777777" w:rsidR="00AB4F0F" w:rsidRPr="00F3636B" w:rsidRDefault="00AB4F0F" w:rsidP="00F0021E">
      <w:pPr>
        <w:overflowPunct/>
        <w:autoSpaceDE/>
        <w:autoSpaceDN/>
        <w:adjustRightInd/>
        <w:spacing w:after="0"/>
        <w:textAlignment w:val="auto"/>
        <w:rPr>
          <w:lang w:val="en-US"/>
        </w:rPr>
      </w:pPr>
    </w:p>
    <w:p w14:paraId="56627DA0" w14:textId="549D00C4" w:rsidR="00A92066" w:rsidRDefault="141204DA" w:rsidP="141204DA">
      <w:pPr>
        <w:overflowPunct/>
        <w:autoSpaceDE/>
        <w:autoSpaceDN/>
        <w:adjustRightInd/>
        <w:textAlignment w:val="auto"/>
        <w:rPr>
          <w:i/>
          <w:iCs/>
          <w:lang w:val="en-US"/>
        </w:rPr>
      </w:pPr>
      <w:r w:rsidRPr="141204DA">
        <w:rPr>
          <w:rFonts w:eastAsia="MS Mincho"/>
          <w:b/>
          <w:bCs/>
          <w:i/>
          <w:iCs/>
          <w:lang w:val="en-US" w:eastAsia="ja-JP"/>
        </w:rPr>
        <w:t xml:space="preserve">Proposal 13: </w:t>
      </w:r>
      <w:r w:rsidRPr="141204DA">
        <w:rPr>
          <w:rFonts w:eastAsia="MS Mincho"/>
          <w:i/>
          <w:iCs/>
          <w:lang w:val="en-US" w:eastAsia="ja-JP"/>
        </w:rPr>
        <w:t xml:space="preserve">For slot based scheduling, DCI indicates both starting and ending symbol using a single index configured by RRC. </w:t>
      </w:r>
      <w:r w:rsidRPr="141204DA">
        <w:rPr>
          <w:i/>
          <w:iCs/>
          <w:lang w:val="en-US"/>
        </w:rPr>
        <w:t>PDSCH and PUSCH require separate configuratinos.</w:t>
      </w:r>
    </w:p>
    <w:p w14:paraId="263352F8" w14:textId="77777777" w:rsidR="00556E32" w:rsidRPr="004D29CA" w:rsidRDefault="00556E32" w:rsidP="00A92066">
      <w:pPr>
        <w:overflowPunct/>
        <w:autoSpaceDE/>
        <w:autoSpaceDN/>
        <w:adjustRightInd/>
        <w:textAlignment w:val="auto"/>
        <w:rPr>
          <w:rFonts w:eastAsia="MS Mincho"/>
          <w:i/>
          <w:iCs/>
          <w:lang w:val="en-US" w:eastAsia="ja-JP"/>
        </w:rPr>
      </w:pPr>
    </w:p>
    <w:p w14:paraId="510C271C" w14:textId="179E9444" w:rsidR="00FB22D7" w:rsidRPr="000717FB" w:rsidRDefault="00FB22D7" w:rsidP="16512788">
      <w:pPr>
        <w:pStyle w:val="Heading2"/>
        <w:rPr>
          <w:rFonts w:cs="Arial"/>
        </w:rPr>
      </w:pPr>
      <w:r w:rsidRPr="16512788">
        <w:rPr>
          <w:rFonts w:cs="Arial"/>
          <w:lang w:eastAsia="zh-CN"/>
        </w:rPr>
        <w:t>4</w:t>
      </w:r>
      <w:r w:rsidRPr="16512788">
        <w:rPr>
          <w:rFonts w:cs="Arial"/>
        </w:rPr>
        <w:t>.</w:t>
      </w:r>
      <w:r w:rsidR="0029537E" w:rsidRPr="16512788">
        <w:rPr>
          <w:rFonts w:cs="Arial"/>
          <w:lang w:eastAsia="zh-CN"/>
        </w:rPr>
        <w:t>3</w:t>
      </w:r>
      <w:r w:rsidRPr="000717FB">
        <w:rPr>
          <w:rFonts w:cs="Arial"/>
        </w:rPr>
        <w:tab/>
      </w:r>
      <w:r w:rsidRPr="16512788">
        <w:rPr>
          <w:rFonts w:cs="Arial"/>
        </w:rPr>
        <w:t xml:space="preserve">PDSCH/PUSCH scheduling timing: Mini-slot based </w:t>
      </w:r>
      <w:r w:rsidR="00556E32" w:rsidRPr="16512788">
        <w:rPr>
          <w:rFonts w:cs="Arial"/>
        </w:rPr>
        <w:t>operation</w:t>
      </w:r>
    </w:p>
    <w:p w14:paraId="5A453895" w14:textId="77777777" w:rsidR="00FB22D7" w:rsidRDefault="16512788" w:rsidP="141204DA">
      <w:pPr>
        <w:overflowPunct/>
        <w:autoSpaceDE/>
        <w:autoSpaceDN/>
        <w:adjustRightInd/>
        <w:spacing w:before="100" w:beforeAutospacing="1" w:after="60"/>
        <w:textAlignment w:val="auto"/>
      </w:pPr>
      <w:r w:rsidRPr="16512788">
        <w:rPr>
          <w:lang w:val="en-US"/>
        </w:rPr>
        <w:t xml:space="preserve">Generally speaking, flexible </w:t>
      </w:r>
      <w:r>
        <w:t xml:space="preserve">mini-slot based operation requires that DCI contains:   </w:t>
      </w:r>
    </w:p>
    <w:p w14:paraId="2C989D0C" w14:textId="77777777" w:rsidR="00FB22D7" w:rsidRPr="006520EB" w:rsidRDefault="141204DA" w:rsidP="141204DA">
      <w:pPr>
        <w:pStyle w:val="ListParagraph"/>
        <w:numPr>
          <w:ilvl w:val="0"/>
          <w:numId w:val="10"/>
        </w:numPr>
        <w:rPr>
          <w:sz w:val="20"/>
          <w:szCs w:val="20"/>
          <w:lang w:val="en-US"/>
        </w:rPr>
      </w:pPr>
      <w:r w:rsidRPr="141204DA">
        <w:rPr>
          <w:sz w:val="20"/>
          <w:szCs w:val="20"/>
          <w:lang w:val="en-US"/>
        </w:rPr>
        <w:t>The starting position of PDSCH/PUSCH transmission with symbol level granularity. The DCI should contain also an indication of which slot it applies to.</w:t>
      </w:r>
    </w:p>
    <w:p w14:paraId="75CDA4EE" w14:textId="77777777" w:rsidR="00FB22D7" w:rsidRDefault="141204DA" w:rsidP="141204DA">
      <w:pPr>
        <w:pStyle w:val="ListParagraph"/>
        <w:numPr>
          <w:ilvl w:val="0"/>
          <w:numId w:val="10"/>
        </w:numPr>
        <w:spacing w:after="180"/>
        <w:jc w:val="both"/>
        <w:rPr>
          <w:sz w:val="20"/>
          <w:szCs w:val="20"/>
          <w:lang w:val="en-US"/>
        </w:rPr>
      </w:pPr>
      <w:r w:rsidRPr="141204DA">
        <w:rPr>
          <w:sz w:val="20"/>
          <w:szCs w:val="20"/>
          <w:lang w:val="en-US"/>
        </w:rPr>
        <w:t>The length of the PDSCH/PUSCH transmission with symbol level granularity. This can be indicated dynamically from the set of values configured by higher layer signalling. Another option is to configure the PDSCH/PUSCH length in a semi-static manner.</w:t>
      </w:r>
    </w:p>
    <w:p w14:paraId="6D3D3AEA" w14:textId="77777777" w:rsidR="00FB22D7" w:rsidRPr="00F3636B" w:rsidRDefault="141204DA" w:rsidP="141204DA">
      <w:pPr>
        <w:jc w:val="both"/>
        <w:rPr>
          <w:lang w:val="en-US"/>
        </w:rPr>
      </w:pPr>
      <w:r w:rsidRPr="141204DA">
        <w:rPr>
          <w:lang w:val="en-US"/>
        </w:rPr>
        <w:t>In order to minimize the DCI overhead, it should be possible to indicate both starting symbol and the mini-slot duration using a single timing index configured by RRC.</w:t>
      </w:r>
    </w:p>
    <w:p w14:paraId="610A17F8" w14:textId="66A054BD" w:rsidR="00FB22D7" w:rsidRPr="004D29CA" w:rsidRDefault="141204DA" w:rsidP="141204DA">
      <w:pPr>
        <w:overflowPunct/>
        <w:autoSpaceDE/>
        <w:autoSpaceDN/>
        <w:adjustRightInd/>
        <w:textAlignment w:val="auto"/>
        <w:rPr>
          <w:rFonts w:eastAsia="MS Mincho"/>
          <w:i/>
          <w:iCs/>
          <w:lang w:val="en-US" w:eastAsia="ja-JP"/>
        </w:rPr>
      </w:pPr>
      <w:r w:rsidRPr="141204DA">
        <w:rPr>
          <w:rFonts w:eastAsia="MS Mincho"/>
          <w:b/>
          <w:bCs/>
          <w:i/>
          <w:iCs/>
          <w:lang w:val="en-US" w:eastAsia="ja-JP"/>
        </w:rPr>
        <w:t xml:space="preserve">Proposal 14: </w:t>
      </w:r>
      <w:r w:rsidRPr="141204DA">
        <w:rPr>
          <w:rFonts w:eastAsia="MS Mincho"/>
          <w:i/>
          <w:iCs/>
          <w:lang w:val="en-US" w:eastAsia="ja-JP"/>
        </w:rPr>
        <w:t>Support indication of both starting position and the duration of (PDSCH/PUSCH) mini-slot using a single index configured by RRC.</w:t>
      </w:r>
    </w:p>
    <w:p w14:paraId="5B4673C3" w14:textId="77777777" w:rsidR="00FB22D7" w:rsidRDefault="141204DA" w:rsidP="141204DA">
      <w:pPr>
        <w:spacing w:after="0"/>
        <w:jc w:val="both"/>
        <w:rPr>
          <w:lang w:val="en-US"/>
        </w:rPr>
      </w:pPr>
      <w:r w:rsidRPr="141204DA">
        <w:rPr>
          <w:lang w:val="en-US"/>
        </w:rPr>
        <w:t>Based on the discussion related to time domain resource allocation in RAN1#90, there are two main principles to convey the starting postion of PDSCH/PUSCH:</w:t>
      </w:r>
    </w:p>
    <w:p w14:paraId="38D3E48B" w14:textId="77777777" w:rsidR="00FB22D7" w:rsidRPr="00847C7C" w:rsidRDefault="141204DA" w:rsidP="141204DA">
      <w:pPr>
        <w:pStyle w:val="ListParagraph"/>
        <w:numPr>
          <w:ilvl w:val="0"/>
          <w:numId w:val="14"/>
        </w:numPr>
        <w:jc w:val="both"/>
        <w:rPr>
          <w:sz w:val="20"/>
          <w:szCs w:val="20"/>
          <w:lang w:val="en-US"/>
        </w:rPr>
      </w:pPr>
      <w:r w:rsidRPr="141204DA">
        <w:rPr>
          <w:sz w:val="20"/>
          <w:szCs w:val="20"/>
          <w:lang w:val="en-US"/>
        </w:rPr>
        <w:t>Opt.1: Starting symbol of a slot. UE is also informed of which slot it applies to.</w:t>
      </w:r>
    </w:p>
    <w:p w14:paraId="33F38722" w14:textId="56E57F40" w:rsidR="00FB22D7" w:rsidRPr="0089362C" w:rsidRDefault="141204DA" w:rsidP="141204DA">
      <w:pPr>
        <w:pStyle w:val="ListParagraph"/>
        <w:numPr>
          <w:ilvl w:val="0"/>
          <w:numId w:val="14"/>
        </w:numPr>
        <w:jc w:val="both"/>
        <w:rPr>
          <w:lang w:val="en-US"/>
        </w:rPr>
      </w:pPr>
      <w:r w:rsidRPr="141204DA">
        <w:rPr>
          <w:sz w:val="20"/>
          <w:szCs w:val="20"/>
          <w:lang w:val="en-US"/>
        </w:rPr>
        <w:t>Opt.2: Symbol number from the start of PDCCH where scheduling PDCCH is included.</w:t>
      </w:r>
    </w:p>
    <w:p w14:paraId="2093E6A4" w14:textId="77777777" w:rsidR="00FB22D7" w:rsidRDefault="00FB22D7" w:rsidP="00FB22D7">
      <w:pPr>
        <w:spacing w:after="0"/>
        <w:rPr>
          <w:lang w:val="en-US"/>
        </w:rPr>
      </w:pPr>
    </w:p>
    <w:p w14:paraId="6503D966" w14:textId="77777777" w:rsidR="00FB22D7" w:rsidRDefault="141204DA" w:rsidP="141204DA">
      <w:pPr>
        <w:jc w:val="both"/>
        <w:rPr>
          <w:lang w:val="en-US"/>
        </w:rPr>
      </w:pPr>
      <w:r w:rsidRPr="141204DA">
        <w:rPr>
          <w:lang w:val="en-US"/>
        </w:rPr>
        <w:t>When considering these options for PUSCH mini-slots, it seems that Opt.2 could be a feasible approach for a FDD scenario where time domain resources are always available. On the other hand, the need for dynamic timing indication in the FDD scenario is not that clear. In the case of (dynamic) TDD, Opt.2 would contain signalling states which are not available due to half-duplex constraint (e.g. when CORESET is located at the beginning of the slot). Hence, with given timing flexibility Opt.2 results in higher DCI overhead compared to Opt.1. Opt. 1 is a better approach also in the sense that DCI content does not vary based on the PDCCH location. Therefore Opt. 1 shown in Figure 1 is the preferred approach for dynamic indication of the starting position for PUSCH mini-slot.</w:t>
      </w:r>
    </w:p>
    <w:p w14:paraId="5FB80441" w14:textId="35CD55CA" w:rsidR="00FB22D7" w:rsidRDefault="16512788" w:rsidP="16512788">
      <w:pPr>
        <w:jc w:val="both"/>
        <w:rPr>
          <w:i/>
          <w:iCs/>
        </w:rPr>
      </w:pPr>
      <w:r w:rsidRPr="16512788">
        <w:rPr>
          <w:b/>
          <w:bCs/>
          <w:i/>
          <w:iCs/>
        </w:rPr>
        <w:t>Proposal 15:</w:t>
      </w:r>
      <w:r w:rsidRPr="16512788">
        <w:rPr>
          <w:b/>
          <w:bCs/>
        </w:rPr>
        <w:t xml:space="preserve"> </w:t>
      </w:r>
      <w:r w:rsidRPr="16512788">
        <w:rPr>
          <w:i/>
          <w:iCs/>
        </w:rPr>
        <w:t>Dynamic indication of the starting position for PUSCH mini-slot is based on Opt. 1 (slot index, and the starting symbol of the slot).</w:t>
      </w:r>
    </w:p>
    <w:p w14:paraId="31882887" w14:textId="77777777" w:rsidR="00FB22D7" w:rsidRDefault="00FB22D7" w:rsidP="00FB22D7">
      <w:pPr>
        <w:jc w:val="center"/>
        <w:rPr>
          <w:lang w:val="en-US"/>
        </w:rPr>
      </w:pPr>
      <w:r w:rsidRPr="00115C88">
        <w:rPr>
          <w:noProof/>
        </w:rPr>
        <w:drawing>
          <wp:inline distT="0" distB="0" distL="0" distR="0" wp14:anchorId="5CF78E87" wp14:editId="2023A7F6">
            <wp:extent cx="4586609" cy="211594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3483" cy="2119111"/>
                    </a:xfrm>
                    <a:prstGeom prst="rect">
                      <a:avLst/>
                    </a:prstGeom>
                    <a:noFill/>
                    <a:ln>
                      <a:noFill/>
                    </a:ln>
                  </pic:spPr>
                </pic:pic>
              </a:graphicData>
            </a:graphic>
          </wp:inline>
        </w:drawing>
      </w:r>
    </w:p>
    <w:p w14:paraId="4F8780A2" w14:textId="77777777" w:rsidR="00FB22D7" w:rsidRDefault="00FB22D7" w:rsidP="00FB22D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PUSCH mini-slot scheduling</w:t>
      </w:r>
      <w:r w:rsidRPr="00494E56">
        <w:t xml:space="preserve"> </w:t>
      </w:r>
      <w:r>
        <w:t>based on Opt. 1.</w:t>
      </w:r>
    </w:p>
    <w:p w14:paraId="1C5EAC88" w14:textId="77777777" w:rsidR="00FB22D7" w:rsidRDefault="00FB22D7" w:rsidP="00FB22D7"/>
    <w:p w14:paraId="770DA389" w14:textId="0720069D" w:rsidR="00FB22D7" w:rsidRDefault="141204DA" w:rsidP="141204DA">
      <w:pPr>
        <w:jc w:val="both"/>
        <w:rPr>
          <w:lang w:val="en-US"/>
        </w:rPr>
      </w:pPr>
      <w:r w:rsidRPr="141204DA">
        <w:rPr>
          <w:lang w:val="en-US"/>
        </w:rPr>
        <w:t>For PDSCH mini-slots, it can be assumed that the needed time domain flexibility for starting position is much smaller compared to that of PUSCH. Hence, in the PDSCH scenario, Opt.1 would result in higher overhead compared to Opt.2. Based on that, we propose that dynamic indication of the starting position for PDSCH is based on Opt. 2.</w:t>
      </w:r>
    </w:p>
    <w:p w14:paraId="6147BF92" w14:textId="21BF9777" w:rsidR="00FB22D7" w:rsidRDefault="16512788" w:rsidP="16512788">
      <w:pPr>
        <w:jc w:val="both"/>
        <w:rPr>
          <w:lang w:val="en-US"/>
        </w:rPr>
      </w:pPr>
      <w:r w:rsidRPr="16512788">
        <w:rPr>
          <w:b/>
          <w:bCs/>
          <w:i/>
          <w:iCs/>
        </w:rPr>
        <w:t>Proposal 16:</w:t>
      </w:r>
      <w:r w:rsidRPr="16512788">
        <w:rPr>
          <w:b/>
          <w:bCs/>
        </w:rPr>
        <w:t xml:space="preserve"> </w:t>
      </w:r>
      <w:r w:rsidRPr="16512788">
        <w:rPr>
          <w:i/>
          <w:iCs/>
        </w:rPr>
        <w:t>Dynamic indication of the starting position for PDSCH mini-slot is based on Opt. 2 (symbol number from the start of PDCCH where scheduling PDCCH is included).</w:t>
      </w:r>
    </w:p>
    <w:p w14:paraId="7A24825F" w14:textId="77777777" w:rsidR="00FB22D7" w:rsidRPr="0089362C" w:rsidRDefault="00FB22D7" w:rsidP="00FB22D7"/>
    <w:p w14:paraId="65AA69F9" w14:textId="4E228679" w:rsidR="00FB22D7" w:rsidRPr="000717FB" w:rsidRDefault="00FB22D7" w:rsidP="16512788">
      <w:pPr>
        <w:pStyle w:val="Heading2"/>
        <w:rPr>
          <w:rFonts w:cs="Arial"/>
        </w:rPr>
      </w:pPr>
      <w:r w:rsidRPr="16512788">
        <w:rPr>
          <w:rFonts w:cs="Arial"/>
          <w:lang w:eastAsia="zh-CN"/>
        </w:rPr>
        <w:t>4</w:t>
      </w:r>
      <w:r w:rsidRPr="16512788">
        <w:rPr>
          <w:rFonts w:cs="Arial"/>
        </w:rPr>
        <w:t>.</w:t>
      </w:r>
      <w:r w:rsidR="0029537E" w:rsidRPr="16512788">
        <w:rPr>
          <w:rFonts w:cs="Arial"/>
          <w:lang w:eastAsia="zh-CN"/>
        </w:rPr>
        <w:t>4</w:t>
      </w:r>
      <w:r w:rsidRPr="000717FB">
        <w:rPr>
          <w:rFonts w:cs="Arial"/>
          <w:szCs w:val="32"/>
        </w:rPr>
        <w:tab/>
      </w:r>
      <w:r w:rsidRPr="16512788">
        <w:rPr>
          <w:rFonts w:cs="Arial"/>
        </w:rPr>
        <w:t>PDSCH/PUSCH scheduling timing: Slot aggregation</w:t>
      </w:r>
    </w:p>
    <w:p w14:paraId="55B07236" w14:textId="77777777" w:rsidR="00FB22D7" w:rsidRDefault="16512788" w:rsidP="16512788">
      <w:pPr>
        <w:spacing w:after="120"/>
        <w:jc w:val="both"/>
        <w:rPr>
          <w:rFonts w:eastAsia="MS Mincho"/>
          <w:lang w:eastAsia="ja-JP"/>
        </w:rPr>
      </w:pPr>
      <w:r w:rsidRPr="16512788">
        <w:rPr>
          <w:rFonts w:eastAsia="MS Mincho"/>
          <w:lang w:eastAsia="ja-JP"/>
        </w:rPr>
        <w:t>In case of slot-based scheduling or slot aggregation, it can be beneficial to dynamically indicate the number of slots being scheduled, e.g. in the following cases:</w:t>
      </w:r>
    </w:p>
    <w:p w14:paraId="6D1A6C03" w14:textId="77777777" w:rsidR="00FB22D7" w:rsidRDefault="16512788" w:rsidP="16512788">
      <w:pPr>
        <w:numPr>
          <w:ilvl w:val="0"/>
          <w:numId w:val="2"/>
        </w:numPr>
        <w:spacing w:after="120"/>
        <w:contextualSpacing/>
        <w:jc w:val="both"/>
        <w:rPr>
          <w:rFonts w:eastAsia="MS Mincho"/>
          <w:lang w:eastAsia="ja-JP"/>
        </w:rPr>
      </w:pPr>
      <w:r w:rsidRPr="16512788">
        <w:rPr>
          <w:rFonts w:eastAsia="MS Mincho"/>
          <w:lang w:eastAsia="ja-JP"/>
        </w:rPr>
        <w:t>If slot aggregation is used to provide extended coverage, dynamic indication of the duration can allow more flexible and faster link adaptation.</w:t>
      </w:r>
    </w:p>
    <w:p w14:paraId="29AEAC99" w14:textId="77777777" w:rsidR="00FB22D7" w:rsidRDefault="16512788" w:rsidP="16512788">
      <w:pPr>
        <w:numPr>
          <w:ilvl w:val="0"/>
          <w:numId w:val="2"/>
        </w:numPr>
        <w:spacing w:after="120"/>
        <w:contextualSpacing/>
        <w:jc w:val="both"/>
        <w:rPr>
          <w:rFonts w:eastAsia="MS Mincho"/>
          <w:lang w:eastAsia="ja-JP"/>
        </w:rPr>
      </w:pPr>
      <w:r w:rsidRPr="16512788">
        <w:rPr>
          <w:rFonts w:eastAsia="MS Mincho"/>
          <w:lang w:eastAsia="ja-JP"/>
        </w:rPr>
        <w:t>In case of dynamic TDD, the gNB can have full flexibility to determine the number of DL and UL slots based on the traffic condition.</w:t>
      </w:r>
    </w:p>
    <w:p w14:paraId="2D2026A6" w14:textId="77777777" w:rsidR="00FB22D7" w:rsidRDefault="16512788" w:rsidP="16512788">
      <w:pPr>
        <w:numPr>
          <w:ilvl w:val="1"/>
          <w:numId w:val="2"/>
        </w:numPr>
        <w:spacing w:after="120"/>
        <w:contextualSpacing/>
        <w:jc w:val="both"/>
        <w:rPr>
          <w:rFonts w:eastAsia="MS Mincho"/>
          <w:lang w:eastAsia="ja-JP"/>
        </w:rPr>
      </w:pPr>
      <w:r w:rsidRPr="16512788">
        <w:rPr>
          <w:rFonts w:eastAsia="MS Mincho"/>
          <w:lang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14:paraId="45778991" w14:textId="77777777" w:rsidR="00FB22D7" w:rsidRDefault="16512788" w:rsidP="16512788">
      <w:pPr>
        <w:numPr>
          <w:ilvl w:val="1"/>
          <w:numId w:val="2"/>
        </w:numPr>
        <w:spacing w:after="120"/>
        <w:contextualSpacing/>
        <w:jc w:val="both"/>
        <w:rPr>
          <w:rFonts w:eastAsia="MS Mincho"/>
          <w:lang w:eastAsia="ja-JP"/>
        </w:rPr>
      </w:pPr>
      <w:r w:rsidRPr="16512788">
        <w:rPr>
          <w:rFonts w:eastAsia="MS Mincho"/>
          <w:lang w:eastAsia="ja-JP"/>
        </w:rPr>
        <w:t>For DL, the gNB of course always has the choice to send DL assignment separately for each PDSCH. Supporting slot aggregation (or multi-slot scheduling) with a single DCI has the benefit of reduced DCI overhead.</w:t>
      </w:r>
    </w:p>
    <w:p w14:paraId="15E562A9" w14:textId="77777777" w:rsidR="00FB22D7" w:rsidRDefault="00FB22D7" w:rsidP="00FB22D7">
      <w:pPr>
        <w:spacing w:after="120"/>
        <w:contextualSpacing/>
        <w:jc w:val="both"/>
        <w:rPr>
          <w:rFonts w:eastAsia="MS Mincho"/>
          <w:szCs w:val="24"/>
          <w:lang w:eastAsia="ja-JP"/>
        </w:rPr>
      </w:pPr>
    </w:p>
    <w:p w14:paraId="1C069EDA" w14:textId="77777777" w:rsidR="00FB22D7" w:rsidRDefault="16512788" w:rsidP="16512788">
      <w:pPr>
        <w:spacing w:after="120"/>
        <w:contextualSpacing/>
        <w:jc w:val="both"/>
        <w:rPr>
          <w:rFonts w:eastAsia="MS Mincho"/>
          <w:lang w:eastAsia="ja-JP"/>
        </w:rPr>
      </w:pPr>
      <w:r w:rsidRPr="16512788">
        <w:rPr>
          <w:rFonts w:eastAsia="MS Mincho"/>
          <w:lang w:eastAsia="ja-JP"/>
        </w:rPr>
        <w:t>The following options were indentified in RAN1#90 for multi-slot case:</w:t>
      </w:r>
    </w:p>
    <w:p w14:paraId="4508C02D" w14:textId="7777777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Opt.1: Starting symbol and ending symbol of each slot of the aggregated slots, and the starting slot and ending slot where it is applied to</w:t>
      </w:r>
    </w:p>
    <w:p w14:paraId="7BC153EA" w14:textId="7777777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Opt.2: Starting symbol and ending symbol of a slot, and the starting slot and ending slot where it is applied to</w:t>
      </w:r>
    </w:p>
    <w:p w14:paraId="42BD227B" w14:textId="77777777" w:rsidR="00FB22D7" w:rsidRPr="0089362C" w:rsidRDefault="141204DA" w:rsidP="141204DA">
      <w:pPr>
        <w:numPr>
          <w:ilvl w:val="1"/>
          <w:numId w:val="15"/>
        </w:numPr>
        <w:spacing w:after="120"/>
        <w:contextualSpacing/>
        <w:jc w:val="both"/>
        <w:rPr>
          <w:rFonts w:eastAsia="MS Mincho"/>
          <w:lang w:val="en-US" w:eastAsia="ja-JP"/>
        </w:rPr>
      </w:pPr>
      <w:r w:rsidRPr="141204DA">
        <w:rPr>
          <w:rFonts w:eastAsia="MS Mincho"/>
          <w:lang w:val="en-US" w:eastAsia="ja-JP"/>
        </w:rPr>
        <w:t>The starting symbol and ending symbol are applied to all the aggregated slots</w:t>
      </w:r>
    </w:p>
    <w:p w14:paraId="6CE0A6DE" w14:textId="0D98DAA7" w:rsidR="00FB22D7" w:rsidRPr="0089362C" w:rsidRDefault="141204DA" w:rsidP="141204DA">
      <w:pPr>
        <w:numPr>
          <w:ilvl w:val="0"/>
          <w:numId w:val="15"/>
        </w:numPr>
        <w:spacing w:after="120"/>
        <w:contextualSpacing/>
        <w:jc w:val="both"/>
        <w:rPr>
          <w:rFonts w:eastAsia="MS Mincho"/>
          <w:lang w:val="en-US" w:eastAsia="ja-JP"/>
        </w:rPr>
      </w:pPr>
      <w:r w:rsidRPr="141204DA">
        <w:rPr>
          <w:rFonts w:eastAsia="MS Mincho"/>
          <w:lang w:val="en-US" w:eastAsia="ja-JP"/>
        </w:rPr>
        <w:t>Opt.3: Starting symbol, starting slot, and the ending symbol and ending slot.</w:t>
      </w:r>
    </w:p>
    <w:p w14:paraId="016E78DB" w14:textId="77777777" w:rsidR="00FB22D7" w:rsidRPr="0089362C" w:rsidRDefault="00FB22D7" w:rsidP="00FB22D7">
      <w:pPr>
        <w:spacing w:after="120"/>
        <w:contextualSpacing/>
        <w:jc w:val="both"/>
        <w:rPr>
          <w:rFonts w:eastAsia="MS Mincho"/>
          <w:szCs w:val="24"/>
          <w:lang w:val="en-US" w:eastAsia="ja-JP"/>
        </w:rPr>
      </w:pPr>
    </w:p>
    <w:p w14:paraId="061F13BF" w14:textId="75CA85CE" w:rsidR="00FB22D7" w:rsidRDefault="16512788" w:rsidP="16512788">
      <w:pPr>
        <w:spacing w:after="120"/>
        <w:contextualSpacing/>
        <w:jc w:val="both"/>
        <w:rPr>
          <w:lang w:val="en-US"/>
        </w:rPr>
      </w:pPr>
      <w:r w:rsidRPr="16512788">
        <w:rPr>
          <w:rFonts w:eastAsia="MS Mincho"/>
          <w:lang w:eastAsia="ja-JP"/>
        </w:rPr>
        <w:t xml:space="preserve">When comparing these options, Opt.2 is our preference since </w:t>
      </w:r>
      <w:r w:rsidRPr="16512788">
        <w:rPr>
          <w:lang w:val="en-US"/>
        </w:rPr>
        <w:t>it allows to minimize the amount of additional control signalling involved in slot aggregation. gNB may determine the starting symbol and ending symbol of a slot in a conservative manner (i.e. according to the latest starting symbol of aggregated slots and the earlierst ending symbol of the aggregated slots, respectively). In the cases where further flexibility is needed, it’s possible to send a separate UL/DL grant for each PDSCH/PUSCH.</w:t>
      </w:r>
    </w:p>
    <w:p w14:paraId="714543FA" w14:textId="77777777" w:rsidR="00FB22D7" w:rsidRPr="00F3636B" w:rsidRDefault="00FB22D7" w:rsidP="00FB22D7">
      <w:pPr>
        <w:spacing w:after="120"/>
        <w:contextualSpacing/>
        <w:jc w:val="both"/>
        <w:rPr>
          <w:lang w:val="en-US"/>
        </w:rPr>
      </w:pPr>
    </w:p>
    <w:p w14:paraId="094DBF00" w14:textId="5F1C6441" w:rsidR="00FB22D7" w:rsidRPr="0089362C" w:rsidRDefault="16512788" w:rsidP="16512788">
      <w:pPr>
        <w:rPr>
          <w:i/>
          <w:iCs/>
          <w:lang w:val="en-US"/>
        </w:rPr>
      </w:pPr>
      <w:r w:rsidRPr="16512788">
        <w:rPr>
          <w:b/>
          <w:bCs/>
          <w:i/>
          <w:iCs/>
        </w:rPr>
        <w:t>Proposal 17:</w:t>
      </w:r>
      <w:r w:rsidRPr="16512788">
        <w:rPr>
          <w:i/>
          <w:iCs/>
        </w:rPr>
        <w:t xml:space="preserve"> In case of slot-based scheduling, the number of slots for a data transmission can be dynamically indicated in DCI. The starting symbol and ending symbol are applied to all the aggregated slots.</w:t>
      </w:r>
    </w:p>
    <w:p w14:paraId="2B3EBEE2" w14:textId="77777777" w:rsidR="00704495" w:rsidRDefault="00704495" w:rsidP="16512788">
      <w:pPr>
        <w:pStyle w:val="Heading1"/>
        <w:rPr>
          <w:color w:val="000000" w:themeColor="text1"/>
        </w:rPr>
      </w:pPr>
      <w:r>
        <w:rPr>
          <w:color w:val="000000"/>
        </w:rPr>
        <w:t>5</w:t>
      </w:r>
      <w:r>
        <w:rPr>
          <w:color w:val="000000"/>
        </w:rPr>
        <w:tab/>
        <w:t>TBS determination</w:t>
      </w:r>
    </w:p>
    <w:p w14:paraId="212DB600" w14:textId="77777777" w:rsidR="00704495" w:rsidRDefault="16512788" w:rsidP="00704495">
      <w:r>
        <w:t>In LTE, TBS tables were carefully defined with a 1 PRB granularity for different cases with some underlying assumptions on e.g. the number of available REs. With the flexible transmission duration being introduced in NR, the TBS determination needs to be carefully considered. Given the wide range of the transmission durations in NR, it would be unrealistic or cumbersome to separately define TBS tables for each of the transmission durations. Moreover, LTE is limited to 110 PRBs whereas in case of NR up to 275 or even 550 PRBs are possible, which makes this exercise even more complicated.</w:t>
      </w:r>
    </w:p>
    <w:p w14:paraId="483D7B4B" w14:textId="77777777" w:rsidR="0046047A" w:rsidRDefault="16512788" w:rsidP="00704495">
      <w:pPr>
        <w:jc w:val="both"/>
      </w:pPr>
      <w:r>
        <w:t xml:space="preserve">Having a predefined formula or method to derive the TBS seems to be a feasible way to reduce the complexity of having large look-up tables. The formula should consider the number of (available) REs, the intended spectral efficiency (MCS), and the number of MIMO layer. The number of REs in the equation could be based on a nominal reference value to isolate the TBS size determination from dynamically changing overhead due to PT-RS, FW compatible resource reserveation etc. </w:t>
      </w:r>
    </w:p>
    <w:p w14:paraId="71ABE5EE" w14:textId="734C1138" w:rsidR="00704495" w:rsidRDefault="16512788" w:rsidP="00704495">
      <w:pPr>
        <w:jc w:val="both"/>
        <w:rPr>
          <w:szCs w:val="24"/>
        </w:rPr>
      </w:pPr>
      <w:r>
        <w:t xml:space="preserve">In LTE, TBS table always results the same CBS in the segmentation process and reduce the complexity of having different padding for each CB. This was identified as good property in the channel coding session, and the following agreement was to simplify the code segmentation. </w:t>
      </w:r>
    </w:p>
    <w:p w14:paraId="6AA0C3AF" w14:textId="77777777" w:rsidR="00704495" w:rsidRPr="005F717C" w:rsidRDefault="16512788" w:rsidP="16512788">
      <w:pPr>
        <w:jc w:val="both"/>
        <w:rPr>
          <w:rFonts w:eastAsia="MS Mincho"/>
          <w:b/>
          <w:bCs/>
          <w:highlight w:val="green"/>
          <w:u w:val="single"/>
          <w:lang w:eastAsia="ja-JP"/>
        </w:rPr>
      </w:pPr>
      <w:r w:rsidRPr="16512788">
        <w:rPr>
          <w:rFonts w:eastAsia="MS Mincho"/>
          <w:b/>
          <w:bCs/>
          <w:highlight w:val="green"/>
          <w:u w:val="single"/>
          <w:lang w:eastAsia="ja-JP"/>
        </w:rPr>
        <w:t>Agreement:</w:t>
      </w:r>
    </w:p>
    <w:p w14:paraId="348003E4" w14:textId="77777777" w:rsidR="00704495" w:rsidRPr="005F717C" w:rsidRDefault="16512788" w:rsidP="16512788">
      <w:pPr>
        <w:numPr>
          <w:ilvl w:val="0"/>
          <w:numId w:val="16"/>
        </w:numPr>
        <w:tabs>
          <w:tab w:val="left" w:pos="720"/>
          <w:tab w:val="left" w:pos="1440"/>
        </w:tabs>
        <w:overflowPunct/>
        <w:autoSpaceDE/>
        <w:autoSpaceDN/>
        <w:adjustRightInd/>
        <w:spacing w:after="0"/>
        <w:jc w:val="both"/>
        <w:textAlignment w:val="auto"/>
        <w:rPr>
          <w:rFonts w:eastAsia="MS Mincho"/>
          <w:lang w:eastAsia="ja-JP"/>
        </w:rPr>
      </w:pPr>
      <w:r w:rsidRPr="16512788">
        <w:rPr>
          <w:rFonts w:eastAsia="MS Mincho"/>
          <w:lang w:eastAsia="ja-JP"/>
        </w:rPr>
        <w:t>Equal code block size after segmentation</w:t>
      </w:r>
    </w:p>
    <w:p w14:paraId="2E220A36" w14:textId="77777777" w:rsidR="00704495" w:rsidRPr="005F717C" w:rsidRDefault="16512788" w:rsidP="16512788">
      <w:pPr>
        <w:numPr>
          <w:ilvl w:val="0"/>
          <w:numId w:val="16"/>
        </w:numPr>
        <w:tabs>
          <w:tab w:val="left" w:pos="720"/>
          <w:tab w:val="left" w:pos="1440"/>
        </w:tabs>
        <w:overflowPunct/>
        <w:autoSpaceDE/>
        <w:autoSpaceDN/>
        <w:adjustRightInd/>
        <w:spacing w:after="0"/>
        <w:jc w:val="both"/>
        <w:textAlignment w:val="auto"/>
        <w:rPr>
          <w:rFonts w:eastAsia="MS Mincho"/>
          <w:lang w:eastAsia="ja-JP"/>
        </w:rPr>
      </w:pPr>
      <w:r w:rsidRPr="16512788">
        <w:rPr>
          <w:rFonts w:eastAsia="MS Mincho"/>
          <w:highlight w:val="darkYellow"/>
          <w:lang w:eastAsia="ja-JP"/>
        </w:rPr>
        <w:t>Working Assumption:</w:t>
      </w:r>
      <w:r w:rsidRPr="16512788">
        <w:rPr>
          <w:rFonts w:eastAsia="MS Mincho"/>
          <w:lang w:eastAsia="ja-JP"/>
        </w:rPr>
        <w:t xml:space="preserve"> TBS determination procedure ensures that TBS plus TB-CRC can be factored into the number of CBs multiplied by the CBS (before addition of LDPC encoding filler bits).</w:t>
      </w:r>
    </w:p>
    <w:p w14:paraId="6AEE7EEC" w14:textId="77777777" w:rsidR="00704495" w:rsidRPr="005F717C" w:rsidRDefault="16512788" w:rsidP="16512788">
      <w:pPr>
        <w:numPr>
          <w:ilvl w:val="1"/>
          <w:numId w:val="16"/>
        </w:numPr>
        <w:tabs>
          <w:tab w:val="left" w:pos="720"/>
          <w:tab w:val="left" w:pos="1440"/>
        </w:tabs>
        <w:overflowPunct/>
        <w:autoSpaceDE/>
        <w:autoSpaceDN/>
        <w:adjustRightInd/>
        <w:spacing w:after="0"/>
        <w:jc w:val="both"/>
        <w:textAlignment w:val="auto"/>
        <w:rPr>
          <w:rFonts w:eastAsia="MS Mincho"/>
          <w:lang w:eastAsia="ja-JP"/>
        </w:rPr>
      </w:pPr>
      <w:r w:rsidRPr="16512788">
        <w:rPr>
          <w:rFonts w:eastAsia="MS Mincho"/>
          <w:lang w:eastAsia="ja-JP"/>
        </w:rPr>
        <w:t>(If a special case emerges where the TBS determination procedure cannot achieve the above criterion, equal CBS would be achieved by zero-padding.)</w:t>
      </w:r>
    </w:p>
    <w:p w14:paraId="5A88249C" w14:textId="77777777" w:rsidR="00704495" w:rsidRPr="005F717C" w:rsidRDefault="00704495" w:rsidP="00704495">
      <w:pPr>
        <w:pStyle w:val="BodyText"/>
        <w:jc w:val="both"/>
        <w:rPr>
          <w:rFonts w:eastAsiaTheme="minorEastAsia"/>
          <w:szCs w:val="24"/>
          <w:lang w:eastAsia="zh-CN"/>
        </w:rPr>
      </w:pPr>
    </w:p>
    <w:p w14:paraId="33F15EB2" w14:textId="77777777" w:rsidR="00704495" w:rsidRPr="005F717C" w:rsidRDefault="16512788" w:rsidP="16512788">
      <w:pPr>
        <w:pStyle w:val="BodyText"/>
        <w:jc w:val="both"/>
        <w:rPr>
          <w:rFonts w:eastAsiaTheme="minorEastAsia"/>
          <w:lang w:eastAsia="zh-CN"/>
        </w:rPr>
      </w:pPr>
      <w:r w:rsidRPr="16512788">
        <w:rPr>
          <w:rFonts w:eastAsiaTheme="minorEastAsia"/>
          <w:lang w:eastAsia="zh-CN"/>
        </w:rPr>
        <w:t xml:space="preserve">The TBS can be calculated using the following formula. </w:t>
      </w:r>
    </w:p>
    <w:p w14:paraId="4DCAAD54" w14:textId="77777777" w:rsidR="00704495" w:rsidRPr="005F717C" w:rsidRDefault="00704495" w:rsidP="16512788">
      <w:pPr>
        <w:pStyle w:val="BodyText"/>
        <w:jc w:val="center"/>
        <w:rPr>
          <w:rFonts w:eastAsiaTheme="minorEastAsia"/>
          <w:sz w:val="24"/>
          <w:szCs w:val="24"/>
          <w:lang w:eastAsia="zh-CN"/>
        </w:rPr>
      </w:pPr>
      <w:r w:rsidRPr="16512788">
        <w:rPr>
          <w:rFonts w:eastAsiaTheme="minorEastAsia"/>
          <w:sz w:val="24"/>
          <w:szCs w:val="24"/>
          <w:lang w:eastAsia="zh-CN"/>
        </w:rPr>
        <w:t xml:space="preserve">TBS = </w:t>
      </w:r>
      <m:oMath>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num>
              <m:den>
                <m:r>
                  <m:rPr>
                    <m:sty m:val="p"/>
                  </m:rPr>
                  <w:rPr>
                    <w:rFonts w:ascii="Cambria Math" w:eastAsiaTheme="minorEastAsia" w:hAnsi="Cambria Math"/>
                    <w:sz w:val="24"/>
                    <w:szCs w:val="24"/>
                    <w:lang w:eastAsia="zh-CN"/>
                  </w:rPr>
                  <m:t xml:space="preserve">8* </m:t>
                </m:r>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r>
                          <m:rPr>
                            <m:sty m:val="p"/>
                          </m:rPr>
                          <w:rPr>
                            <w:rFonts w:ascii="Cambria Math" w:eastAsiaTheme="minorEastAsia" w:hAnsi="Cambria Math"/>
                            <w:sz w:val="24"/>
                            <w:szCs w:val="24"/>
                            <w:lang w:eastAsia="zh-CN"/>
                          </w:rPr>
                          <m:t>+24</m:t>
                        </m:r>
                      </m:num>
                      <m:den>
                        <m:r>
                          <m:rPr>
                            <m:sty m:val="p"/>
                          </m:rPr>
                          <w:rPr>
                            <w:rFonts w:ascii="Cambria Math" w:eastAsiaTheme="minorEastAsia" w:hAnsi="Cambria Math"/>
                            <w:sz w:val="24"/>
                            <w:szCs w:val="24"/>
                            <w:lang w:eastAsia="zh-CN"/>
                          </w:rPr>
                          <m:t>8424</m:t>
                        </m:r>
                      </m:den>
                    </m:f>
                  </m:e>
                </m:d>
              </m:den>
            </m:f>
          </m:e>
        </m:d>
        <m:r>
          <w:rPr>
            <w:rFonts w:ascii="Cambria Math" w:eastAsiaTheme="minorEastAsia" w:hAnsi="Cambria Math"/>
            <w:sz w:val="24"/>
            <w:szCs w:val="24"/>
            <w:lang w:eastAsia="zh-CN"/>
          </w:rPr>
          <m:t xml:space="preserve">* </m:t>
        </m:r>
        <m:r>
          <m:rPr>
            <m:sty m:val="p"/>
          </m:rPr>
          <w:rPr>
            <w:rFonts w:ascii="Cambria Math" w:eastAsiaTheme="minorEastAsia" w:hAnsi="Cambria Math"/>
            <w:sz w:val="24"/>
            <w:szCs w:val="24"/>
            <w:lang w:eastAsia="zh-CN"/>
          </w:rPr>
          <m:t xml:space="preserve">8* </m:t>
        </m:r>
        <m:d>
          <m:dPr>
            <m:begChr m:val="⌈"/>
            <m:endChr m:val="⌉"/>
            <m:ctrlPr>
              <w:rPr>
                <w:rFonts w:ascii="Cambria Math" w:eastAsiaTheme="minorEastAsia" w:hAnsi="Cambria Math"/>
                <w:sz w:val="24"/>
                <w:szCs w:val="24"/>
                <w:lang w:eastAsia="zh-CN"/>
              </w:rPr>
            </m:ctrlPr>
          </m:dPr>
          <m:e>
            <m:f>
              <m:fPr>
                <m:ctrlPr>
                  <w:rPr>
                    <w:rFonts w:ascii="Cambria Math" w:eastAsiaTheme="minorEastAsia" w:hAnsi="Cambria Math"/>
                    <w:sz w:val="24"/>
                    <w:szCs w:val="24"/>
                    <w:lang w:eastAsia="zh-CN"/>
                  </w:rPr>
                </m:ctrlPr>
              </m:fPr>
              <m:num>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N</m:t>
                    </m:r>
                  </m:e>
                  <m:sub>
                    <m:r>
                      <w:rPr>
                        <w:rFonts w:ascii="Cambria Math" w:eastAsiaTheme="minorEastAsia" w:hAnsi="Cambria Math"/>
                        <w:sz w:val="24"/>
                        <w:szCs w:val="24"/>
                        <w:lang w:eastAsia="zh-CN"/>
                      </w:rPr>
                      <m:t>RE</m:t>
                    </m:r>
                  </m:sub>
                </m:sSub>
                <m:r>
                  <w:rPr>
                    <w:rFonts w:ascii="Cambria Math" w:eastAsiaTheme="minorEastAsia" w:hAnsi="Cambria Math"/>
                    <w:sz w:val="24"/>
                    <w:szCs w:val="24"/>
                    <w:lang w:eastAsia="zh-CN"/>
                  </w:rPr>
                  <m:t>×</m:t>
                </m:r>
                <m:sSub>
                  <m:sSubPr>
                    <m:ctrlPr>
                      <w:rPr>
                        <w:rFonts w:ascii="Cambria Math" w:eastAsiaTheme="minorEastAsia" w:hAnsi="Cambria Math"/>
                        <w:i/>
                        <w:sz w:val="24"/>
                        <w:szCs w:val="24"/>
                        <w:lang w:eastAsia="zh-CN"/>
                      </w:rPr>
                    </m:ctrlPr>
                  </m:sSubPr>
                  <m:e>
                    <m:r>
                      <w:rPr>
                        <w:rFonts w:ascii="Cambria Math" w:eastAsiaTheme="minorEastAsia" w:hAnsi="Cambria Math"/>
                        <w:sz w:val="24"/>
                        <w:szCs w:val="24"/>
                        <w:lang w:eastAsia="zh-CN"/>
                      </w:rPr>
                      <m:t>Q</m:t>
                    </m:r>
                  </m:e>
                  <m:sub>
                    <m:r>
                      <w:rPr>
                        <w:rFonts w:ascii="Cambria Math" w:eastAsiaTheme="minorEastAsia" w:hAnsi="Cambria Math"/>
                        <w:sz w:val="24"/>
                        <w:szCs w:val="24"/>
                        <w:lang w:eastAsia="zh-CN"/>
                      </w:rPr>
                      <m:t>m</m:t>
                    </m:r>
                  </m:sub>
                </m:sSub>
                <m:r>
                  <w:rPr>
                    <w:rFonts w:ascii="Cambria Math" w:eastAsiaTheme="minorEastAsia" w:hAnsi="Cambria Math"/>
                    <w:sz w:val="24"/>
                    <w:szCs w:val="24"/>
                    <w:lang w:eastAsia="zh-CN"/>
                  </w:rPr>
                  <m:t xml:space="preserve">×R×v </m:t>
                </m:r>
                <m:r>
                  <m:rPr>
                    <m:sty m:val="p"/>
                  </m:rPr>
                  <w:rPr>
                    <w:rFonts w:ascii="Cambria Math" w:eastAsiaTheme="minorEastAsia" w:hAnsi="Cambria Math"/>
                    <w:sz w:val="24"/>
                    <w:szCs w:val="24"/>
                    <w:lang w:eastAsia="zh-CN"/>
                  </w:rPr>
                  <m:t>+24</m:t>
                </m:r>
              </m:num>
              <m:den>
                <m:r>
                  <m:rPr>
                    <m:sty m:val="p"/>
                  </m:rPr>
                  <w:rPr>
                    <w:rFonts w:ascii="Cambria Math" w:eastAsiaTheme="minorEastAsia" w:hAnsi="Cambria Math"/>
                    <w:sz w:val="24"/>
                    <w:szCs w:val="24"/>
                    <w:lang w:eastAsia="zh-CN"/>
                  </w:rPr>
                  <m:t>8424</m:t>
                </m:r>
              </m:den>
            </m:f>
          </m:e>
        </m:d>
      </m:oMath>
    </w:p>
    <w:p w14:paraId="7368411C" w14:textId="77777777" w:rsidR="00704495" w:rsidRPr="005F717C" w:rsidRDefault="00704495" w:rsidP="00704495">
      <w:pPr>
        <w:jc w:val="both"/>
        <w:rPr>
          <w:szCs w:val="24"/>
          <w:lang w:val="en-US"/>
        </w:rPr>
      </w:pPr>
    </w:p>
    <w:p w14:paraId="0196C7F6" w14:textId="77777777" w:rsidR="00704495" w:rsidRPr="005F717C" w:rsidRDefault="141204DA" w:rsidP="141204DA">
      <w:pPr>
        <w:jc w:val="both"/>
        <w:rPr>
          <w:lang w:val="en-US"/>
        </w:rPr>
      </w:pPr>
      <w:r w:rsidRPr="141204DA">
        <w:rPr>
          <w:lang w:val="en-US"/>
        </w:rPr>
        <w:t xml:space="preserve">where, </w:t>
      </w:r>
    </w:p>
    <w:p w14:paraId="1081D45A" w14:textId="77777777" w:rsidR="00704495" w:rsidRPr="005F717C" w:rsidRDefault="00C474D6" w:rsidP="141204DA">
      <w:pPr>
        <w:jc w:val="both"/>
        <w:rPr>
          <w:rFonts w:eastAsia="Times New Roman"/>
          <w:lang w:val="en-US"/>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N</m:t>
            </m:r>
          </m:e>
          <m:sub>
            <m:r>
              <w:rPr>
                <w:rFonts w:ascii="Cambria Math" w:eastAsiaTheme="minorEastAsia" w:hAnsi="Cambria Math"/>
                <w:szCs w:val="24"/>
                <w:lang w:eastAsia="zh-CN"/>
              </w:rPr>
              <m:t>RE</m:t>
            </m:r>
          </m:sub>
        </m:sSub>
      </m:oMath>
      <w:r w:rsidR="00704495" w:rsidRPr="3E61DC49">
        <w:rPr>
          <w:lang w:val="en-US"/>
        </w:rPr>
        <w:t xml:space="preserve"> = Resource elements </w:t>
      </w:r>
    </w:p>
    <w:p w14:paraId="5FBC4C13" w14:textId="77777777" w:rsidR="00704495" w:rsidRPr="005F717C" w:rsidRDefault="00C474D6" w:rsidP="141204DA">
      <w:pPr>
        <w:jc w:val="both"/>
        <w:rPr>
          <w:lang w:val="en-US"/>
        </w:rPr>
      </w:pPr>
      <m:oMath>
        <m:sSub>
          <m:sSubPr>
            <m:ctrlPr>
              <w:rPr>
                <w:rFonts w:ascii="Cambria Math" w:eastAsiaTheme="minorEastAsia" w:hAnsi="Cambria Math"/>
                <w:i/>
                <w:szCs w:val="24"/>
                <w:lang w:eastAsia="zh-CN"/>
              </w:rPr>
            </m:ctrlPr>
          </m:sSubPr>
          <m:e>
            <m:r>
              <w:rPr>
                <w:rFonts w:ascii="Cambria Math" w:eastAsiaTheme="minorEastAsia" w:hAnsi="Cambria Math"/>
                <w:szCs w:val="24"/>
                <w:lang w:eastAsia="zh-CN"/>
              </w:rPr>
              <m:t>Q</m:t>
            </m:r>
          </m:e>
          <m:sub>
            <m:r>
              <w:rPr>
                <w:rFonts w:ascii="Cambria Math" w:eastAsiaTheme="minorEastAsia" w:hAnsi="Cambria Math"/>
                <w:szCs w:val="24"/>
                <w:lang w:eastAsia="zh-CN"/>
              </w:rPr>
              <m:t>m</m:t>
            </m:r>
          </m:sub>
        </m:sSub>
      </m:oMath>
      <w:r w:rsidR="00704495" w:rsidRPr="3E61DC49">
        <w:rPr>
          <w:lang w:val="en-US"/>
        </w:rPr>
        <w:t xml:space="preserve"> = Modulation order</w:t>
      </w:r>
    </w:p>
    <w:p w14:paraId="55BF4FE7" w14:textId="77777777" w:rsidR="00704495" w:rsidRPr="005F717C" w:rsidRDefault="00704495" w:rsidP="141204DA">
      <w:pPr>
        <w:jc w:val="both"/>
        <w:rPr>
          <w:lang w:val="en-US"/>
        </w:rPr>
      </w:pPr>
      <m:oMath>
        <m:r>
          <w:rPr>
            <w:rFonts w:ascii="Cambria Math" w:eastAsiaTheme="minorEastAsia" w:hAnsi="Cambria Math"/>
            <w:szCs w:val="24"/>
            <w:lang w:eastAsia="zh-CN"/>
          </w:rPr>
          <m:t>R</m:t>
        </m:r>
      </m:oMath>
      <w:r w:rsidRPr="3E61DC49">
        <w:rPr>
          <w:lang w:val="en-US"/>
        </w:rPr>
        <w:t xml:space="preserve"> = code rate </w:t>
      </w:r>
    </w:p>
    <w:p w14:paraId="27692EBB" w14:textId="77777777" w:rsidR="00704495" w:rsidRPr="005F717C" w:rsidRDefault="00704495" w:rsidP="141204DA">
      <w:pPr>
        <w:jc w:val="both"/>
        <w:rPr>
          <w:lang w:val="en-US"/>
        </w:rPr>
      </w:pPr>
      <m:oMath>
        <m:r>
          <w:rPr>
            <w:rFonts w:ascii="Cambria Math" w:eastAsiaTheme="minorEastAsia" w:hAnsi="Cambria Math"/>
            <w:szCs w:val="24"/>
            <w:lang w:eastAsia="zh-CN"/>
          </w:rPr>
          <m:t>v</m:t>
        </m:r>
      </m:oMath>
      <w:r w:rsidRPr="3E61DC49">
        <w:rPr>
          <w:lang w:val="en-US"/>
        </w:rPr>
        <w:t xml:space="preserve"> = number of layers  </w:t>
      </w:r>
    </w:p>
    <w:p w14:paraId="09327F4C" w14:textId="77777777" w:rsidR="00704495" w:rsidRDefault="141204DA" w:rsidP="141204DA">
      <w:pPr>
        <w:jc w:val="both"/>
        <w:rPr>
          <w:lang w:val="en-US"/>
        </w:rPr>
      </w:pPr>
      <w:r w:rsidRPr="141204DA">
        <w:rPr>
          <w:lang w:val="en-US"/>
        </w:rPr>
        <w:t xml:space="preserve">As the number of REs is used for the calculation, the gNB and the UE need to have common understanding on the definition. This will likely require some pre-known assumptions on the overhead. </w:t>
      </w:r>
    </w:p>
    <w:p w14:paraId="714A4566" w14:textId="5319B373" w:rsidR="00704495" w:rsidRPr="005F717C" w:rsidRDefault="16512788" w:rsidP="16512788">
      <w:pPr>
        <w:jc w:val="both"/>
        <w:rPr>
          <w:i/>
          <w:iCs/>
        </w:rPr>
      </w:pPr>
      <w:r w:rsidRPr="16512788">
        <w:rPr>
          <w:b/>
          <w:bCs/>
          <w:i/>
          <w:iCs/>
        </w:rPr>
        <w:t xml:space="preserve">Proposal 18: </w:t>
      </w:r>
      <w:r w:rsidRPr="16512788">
        <w:rPr>
          <w:i/>
          <w:iCs/>
        </w:rPr>
        <w:t xml:space="preserve">The following pre-defined formula shall be used to determine the TBS. </w:t>
      </w:r>
    </w:p>
    <w:p w14:paraId="49553C23" w14:textId="77777777" w:rsidR="00704495" w:rsidRPr="005F717C" w:rsidRDefault="00704495" w:rsidP="16512788">
      <w:pPr>
        <w:pStyle w:val="BodyText"/>
        <w:jc w:val="both"/>
        <w:rPr>
          <w:rFonts w:eastAsiaTheme="minorEastAsia"/>
          <w:i/>
          <w:iCs/>
          <w:lang w:eastAsia="zh-CN"/>
        </w:rPr>
      </w:pPr>
      <w:r>
        <w:rPr>
          <w:i/>
        </w:rPr>
        <w:tab/>
      </w:r>
      <w:r w:rsidRPr="005F717C">
        <w:rPr>
          <w:i/>
        </w:rPr>
        <w:tab/>
      </w:r>
      <w:r w:rsidRPr="16512788">
        <w:rPr>
          <w:rFonts w:eastAsiaTheme="minorEastAsia"/>
          <w:i/>
          <w:iCs/>
          <w:lang w:eastAsia="zh-CN"/>
        </w:rPr>
        <w:t xml:space="preserve">TBS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 xml:space="preserve">×R×v </m:t>
                </m:r>
              </m:num>
              <m:den>
                <m:r>
                  <w:rPr>
                    <w:rFonts w:ascii="Cambria Math" w:eastAsiaTheme="minorEastAsia" w:hAnsi="Cambria Math"/>
                    <w:lang w:eastAsia="zh-CN"/>
                  </w:rPr>
                  <m:t xml:space="preserve">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den>
            </m:f>
          </m:e>
        </m:d>
        <m:r>
          <w:rPr>
            <w:rFonts w:ascii="Cambria Math" w:eastAsiaTheme="minorEastAsia" w:hAnsi="Cambria Math"/>
            <w:lang w:eastAsia="zh-CN"/>
          </w:rPr>
          <m:t xml:space="preserve">* 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oMath>
      <w:r w:rsidRPr="16512788">
        <w:rPr>
          <w:rFonts w:eastAsiaTheme="minorEastAsia"/>
          <w:i/>
          <w:iCs/>
          <w:lang w:eastAsia="zh-CN"/>
        </w:rPr>
        <w:t>,</w:t>
      </w:r>
    </w:p>
    <w:p w14:paraId="65F0DBB6" w14:textId="77777777" w:rsidR="00704495" w:rsidRPr="005F717C" w:rsidRDefault="00704495" w:rsidP="16512788">
      <w:pPr>
        <w:jc w:val="both"/>
        <w:rPr>
          <w:i/>
          <w:iCs/>
          <w:lang w:val="en-US"/>
        </w:rPr>
      </w:pPr>
      <w:r w:rsidRPr="16512788">
        <w:rPr>
          <w:rFonts w:eastAsiaTheme="minorEastAsia"/>
          <w:i/>
          <w:iCs/>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Pr="16512788">
        <w:rPr>
          <w:i/>
          <w:iCs/>
          <w:lang w:val="en-US"/>
        </w:rPr>
        <w:t xml:space="preserve"> = Resource elements,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16512788">
        <w:rPr>
          <w:i/>
          <w:iCs/>
          <w:lang w:val="en-US"/>
        </w:rPr>
        <w:t xml:space="preserve"> = Modulation order, </w:t>
      </w:r>
      <m:oMath>
        <m:r>
          <w:rPr>
            <w:rFonts w:ascii="Cambria Math" w:eastAsiaTheme="minorEastAsia" w:hAnsi="Cambria Math"/>
            <w:lang w:eastAsia="zh-CN"/>
          </w:rPr>
          <m:t>R</m:t>
        </m:r>
      </m:oMath>
      <w:r w:rsidRPr="16512788">
        <w:rPr>
          <w:i/>
          <w:iCs/>
          <w:lang w:val="en-US"/>
        </w:rPr>
        <w:t xml:space="preserve"> = code rate, and </w:t>
      </w:r>
      <m:oMath>
        <m:r>
          <w:rPr>
            <w:rFonts w:ascii="Cambria Math" w:eastAsiaTheme="minorEastAsia" w:hAnsi="Cambria Math"/>
            <w:lang w:eastAsia="zh-CN"/>
          </w:rPr>
          <m:t>v</m:t>
        </m:r>
      </m:oMath>
      <w:r w:rsidRPr="16512788">
        <w:rPr>
          <w:i/>
          <w:iCs/>
          <w:lang w:val="en-US"/>
        </w:rPr>
        <w:t xml:space="preserve"> = number of layers  </w:t>
      </w:r>
    </w:p>
    <w:p w14:paraId="30320745" w14:textId="77777777" w:rsidR="00704495" w:rsidRDefault="00704495" w:rsidP="00704495"/>
    <w:p w14:paraId="0A4DAA73" w14:textId="77777777" w:rsidR="00704495" w:rsidRPr="000717FB" w:rsidRDefault="00704495" w:rsidP="16512788">
      <w:pPr>
        <w:pStyle w:val="Heading2"/>
        <w:rPr>
          <w:rFonts w:cs="Arial"/>
        </w:rPr>
      </w:pPr>
      <w:r w:rsidRPr="16512788">
        <w:rPr>
          <w:rFonts w:cs="Arial"/>
          <w:lang w:eastAsia="zh-CN"/>
        </w:rPr>
        <w:t>5</w:t>
      </w:r>
      <w:r w:rsidRPr="16512788">
        <w:rPr>
          <w:rFonts w:cs="Arial"/>
        </w:rPr>
        <w:t>.</w:t>
      </w:r>
      <w:r w:rsidRPr="16512788">
        <w:rPr>
          <w:rFonts w:cs="Arial"/>
          <w:lang w:eastAsia="zh-CN"/>
        </w:rPr>
        <w:t>1</w:t>
      </w:r>
      <w:r w:rsidRPr="000717FB">
        <w:rPr>
          <w:rFonts w:cs="Arial"/>
        </w:rPr>
        <w:tab/>
      </w:r>
      <w:r w:rsidRPr="16512788">
        <w:rPr>
          <w:rFonts w:cs="Arial"/>
        </w:rPr>
        <w:t>TBS determination: support of slot aggregation</w:t>
      </w:r>
    </w:p>
    <w:p w14:paraId="6090C316" w14:textId="77777777" w:rsidR="00704495" w:rsidRDefault="16512788" w:rsidP="16512788">
      <w:pPr>
        <w:rPr>
          <w:rFonts w:eastAsiaTheme="minorEastAsia"/>
        </w:rPr>
      </w:pPr>
      <w:r>
        <w:t>Although we have agreed to support a data transmission spanning multiple slots using a single DCI, we have not defined how TB(s) would be mapped to these multiple slots.</w:t>
      </w:r>
    </w:p>
    <w:p w14:paraId="2C98FD82" w14:textId="77777777" w:rsidR="00704495" w:rsidRDefault="16512788" w:rsidP="00704495">
      <w:r>
        <w:t>The two basic options are:</w:t>
      </w:r>
    </w:p>
    <w:p w14:paraId="044227E4" w14:textId="77777777" w:rsidR="00704495" w:rsidRPr="0052773A" w:rsidRDefault="141204DA" w:rsidP="141204DA">
      <w:pPr>
        <w:pStyle w:val="ListParagraph"/>
        <w:numPr>
          <w:ilvl w:val="0"/>
          <w:numId w:val="3"/>
        </w:numPr>
        <w:spacing w:line="256" w:lineRule="auto"/>
        <w:rPr>
          <w:sz w:val="20"/>
          <w:szCs w:val="20"/>
          <w:lang w:val="en-US"/>
        </w:rPr>
      </w:pPr>
      <w:r w:rsidRPr="141204DA">
        <w:rPr>
          <w:sz w:val="20"/>
          <w:szCs w:val="20"/>
          <w:lang w:val="en-US"/>
        </w:rPr>
        <w:t>Option 1: one TB is mapped to multiple slots</w:t>
      </w:r>
    </w:p>
    <w:p w14:paraId="79010A20" w14:textId="3AFEB768" w:rsidR="00704495" w:rsidRDefault="141204DA" w:rsidP="141204DA">
      <w:pPr>
        <w:pStyle w:val="ListParagraph"/>
        <w:numPr>
          <w:ilvl w:val="1"/>
          <w:numId w:val="3"/>
        </w:numPr>
        <w:spacing w:line="256" w:lineRule="auto"/>
        <w:rPr>
          <w:sz w:val="20"/>
          <w:szCs w:val="20"/>
          <w:lang w:val="en-US"/>
        </w:rPr>
      </w:pPr>
      <w:r w:rsidRPr="141204DA">
        <w:rPr>
          <w:sz w:val="20"/>
          <w:szCs w:val="20"/>
          <w:lang w:val="en-US"/>
        </w:rPr>
        <w:t>Option 1a: the TBS is determined in the same way as in single-slot scheduling. The main purpose is to provide extended coverage or improve the latency/reliability.</w:t>
      </w:r>
    </w:p>
    <w:p w14:paraId="2A4456B0" w14:textId="4AEFC670" w:rsidR="00082154" w:rsidRPr="0052773A" w:rsidRDefault="00082154" w:rsidP="00F0021E">
      <w:pPr>
        <w:pStyle w:val="ListParagraph"/>
        <w:numPr>
          <w:ilvl w:val="1"/>
          <w:numId w:val="3"/>
        </w:numPr>
        <w:spacing w:line="256" w:lineRule="auto"/>
        <w:rPr>
          <w:sz w:val="20"/>
          <w:szCs w:val="20"/>
          <w:lang w:val="en-US"/>
        </w:rPr>
      </w:pPr>
      <w:r w:rsidRPr="00082154">
        <w:rPr>
          <w:sz w:val="20"/>
          <w:szCs w:val="20"/>
          <w:lang w:val="en-US"/>
        </w:rPr>
        <w:t>Option 1b: the TBS is scaled up based on the number of slots being scheduled. This would provide a larger TBS.</w:t>
      </w:r>
    </w:p>
    <w:p w14:paraId="4FBBFDFD" w14:textId="77777777" w:rsidR="00704495" w:rsidRPr="0052773A" w:rsidRDefault="3E61DC49" w:rsidP="00F0021E">
      <w:pPr>
        <w:pStyle w:val="ListParagraph"/>
        <w:numPr>
          <w:ilvl w:val="0"/>
          <w:numId w:val="3"/>
        </w:numPr>
        <w:spacing w:line="256" w:lineRule="auto"/>
        <w:rPr>
          <w:sz w:val="20"/>
          <w:szCs w:val="20"/>
          <w:lang w:val="en-US"/>
        </w:rPr>
      </w:pPr>
      <w:r w:rsidRPr="3E61DC49">
        <w:rPr>
          <w:sz w:val="20"/>
          <w:szCs w:val="20"/>
          <w:lang w:val="en-US"/>
        </w:rPr>
        <w:t>Option 2: one TB is mapped to one slot – i.e. multi-slot scheduling</w:t>
      </w:r>
    </w:p>
    <w:p w14:paraId="7A0BAC39" w14:textId="77777777" w:rsidR="00704495" w:rsidRPr="0052773A" w:rsidRDefault="3E61DC49" w:rsidP="00F0021E">
      <w:pPr>
        <w:pStyle w:val="ListParagraph"/>
        <w:numPr>
          <w:ilvl w:val="1"/>
          <w:numId w:val="3"/>
        </w:numPr>
        <w:spacing w:line="256" w:lineRule="auto"/>
        <w:rPr>
          <w:sz w:val="20"/>
          <w:szCs w:val="20"/>
          <w:lang w:val="en-US"/>
        </w:rPr>
      </w:pPr>
      <w:r w:rsidRPr="3E61DC49">
        <w:rPr>
          <w:sz w:val="20"/>
          <w:szCs w:val="20"/>
          <w:lang w:val="en-US"/>
        </w:rPr>
        <w:t>In this case, the data transmission in each slot is the same as the single-slot scheduling.</w:t>
      </w:r>
    </w:p>
    <w:p w14:paraId="2CDAF454" w14:textId="7CB10041" w:rsidR="00704495" w:rsidRDefault="00704495" w:rsidP="00704495">
      <w:pPr>
        <w:rPr>
          <w:sz w:val="22"/>
        </w:rPr>
      </w:pPr>
    </w:p>
    <w:p w14:paraId="08815600" w14:textId="5F7DFA0A" w:rsidR="00082154" w:rsidRDefault="16512788" w:rsidP="00704495">
      <w:r>
        <w:t>NR will support Option 1a based on the agreements made in NR Ad-hoc#3: “</w:t>
      </w:r>
      <w:r w:rsidRPr="16512788">
        <w:rPr>
          <w:i/>
          <w:iCs/>
        </w:rPr>
        <w:t>For grant-based DL or UL, transmissions where a TB spans multiple slots or mini-slots can be composed of repetitions of the TB</w:t>
      </w:r>
      <w:r>
        <w:t>” and “</w:t>
      </w:r>
      <w:r w:rsidRPr="16512788">
        <w:rPr>
          <w:i/>
          <w:iCs/>
        </w:rPr>
        <w:t>The repetitions follow an RV sequence</w:t>
      </w:r>
      <w:r>
        <w:t>”).</w:t>
      </w:r>
    </w:p>
    <w:p w14:paraId="7C227D48" w14:textId="57E904A1" w:rsidR="00704495" w:rsidRDefault="00082154" w:rsidP="00704495">
      <w:r>
        <w:t>Support for Option 1b is FFS based on the following agreement made in NR Ad-hoc#3: “</w:t>
      </w:r>
      <w:r w:rsidRPr="00082154">
        <w:rPr>
          <w:rFonts w:eastAsia="Times New Roman"/>
          <w:i/>
        </w:rPr>
        <w:t>FFS for grant-based DL or UL transmissions, if a TB can span multiple slots without repetitions</w:t>
      </w:r>
      <w:r>
        <w:rPr>
          <w:rFonts w:eastAsia="Times New Roman"/>
          <w:i/>
        </w:rPr>
        <w:t xml:space="preserve">”. </w:t>
      </w:r>
      <w:r w:rsidR="10E807B4">
        <w:t>The main advantage of option 1b is the reduced DL/UL control overhead because only a single TB is transmitted. However it can have the following issues/implications:</w:t>
      </w:r>
    </w:p>
    <w:p w14:paraId="522D219A" w14:textId="77777777" w:rsidR="00704495" w:rsidRPr="0052773A" w:rsidRDefault="3E61DC49" w:rsidP="00F0021E">
      <w:pPr>
        <w:pStyle w:val="ListParagraph"/>
        <w:numPr>
          <w:ilvl w:val="0"/>
          <w:numId w:val="3"/>
        </w:numPr>
        <w:spacing w:line="256" w:lineRule="auto"/>
        <w:rPr>
          <w:sz w:val="20"/>
          <w:szCs w:val="20"/>
          <w:lang w:val="en-US"/>
        </w:rPr>
      </w:pPr>
      <w:r w:rsidRPr="3E61DC49">
        <w:rPr>
          <w:sz w:val="20"/>
          <w:szCs w:val="20"/>
          <w:lang w:val="en-US"/>
        </w:rPr>
        <w:t>It creates inefficiency in HARQ retransmission due to large TBS. CBG-based retransmission can be considered as one way to address the issue, but it requires multi-bit HARQ-ACK feedback and additional overhead in retransmission DCI, which would take away the potential advantage of reduced overhead.</w:t>
      </w:r>
    </w:p>
    <w:p w14:paraId="286EE0E5" w14:textId="77777777" w:rsidR="00704495" w:rsidRPr="0052773A" w:rsidRDefault="3E61DC49" w:rsidP="00F0021E">
      <w:pPr>
        <w:pStyle w:val="ListParagraph"/>
        <w:numPr>
          <w:ilvl w:val="0"/>
          <w:numId w:val="3"/>
        </w:numPr>
        <w:spacing w:line="256" w:lineRule="auto"/>
        <w:rPr>
          <w:sz w:val="20"/>
          <w:szCs w:val="20"/>
          <w:lang w:val="en-US"/>
        </w:rPr>
      </w:pPr>
      <w:r w:rsidRPr="3E61DC49">
        <w:rPr>
          <w:sz w:val="20"/>
          <w:szCs w:val="20"/>
          <w:lang w:val="en-US"/>
        </w:rPr>
        <w:t>It can complicate the HARQ process and soft buffer discussion. It requires a HARQ process to support a much larger TBS and the corresponding soft buffer size for soft combining purpose. This could mean that less number of HARQ processes can be supported when more slots are aggregated. If we support the dynamic indication of the transmission duration, it in a way conflicts with the static/semi-static number of HARQ processes that a UE supports.</w:t>
      </w:r>
    </w:p>
    <w:p w14:paraId="40B683C3" w14:textId="77777777" w:rsidR="00704495" w:rsidRPr="0052773A" w:rsidRDefault="3E61DC49" w:rsidP="00F0021E">
      <w:pPr>
        <w:pStyle w:val="ListParagraph"/>
        <w:numPr>
          <w:ilvl w:val="0"/>
          <w:numId w:val="3"/>
        </w:numPr>
        <w:spacing w:line="256" w:lineRule="auto"/>
        <w:rPr>
          <w:sz w:val="20"/>
          <w:szCs w:val="20"/>
          <w:lang w:val="en-US"/>
        </w:rPr>
      </w:pPr>
      <w:r w:rsidRPr="3E61DC49">
        <w:rPr>
          <w:sz w:val="20"/>
          <w:szCs w:val="20"/>
          <w:lang w:val="en-US"/>
        </w:rPr>
        <w:t>It can also increase the latency because the retransmission would need to wait longer due to the long scheduling unit (e.g. when the transmission of another HARQ process occurs).</w:t>
      </w:r>
    </w:p>
    <w:p w14:paraId="34E9B020" w14:textId="77777777" w:rsidR="00704495" w:rsidRDefault="00704495" w:rsidP="00704495">
      <w:pPr>
        <w:rPr>
          <w:sz w:val="22"/>
        </w:rPr>
      </w:pPr>
    </w:p>
    <w:p w14:paraId="04167EC4" w14:textId="00672DBA" w:rsidR="00704495" w:rsidRDefault="10E807B4" w:rsidP="00704495">
      <w:r>
        <w:t>Option 2, on the other hand, is a simple way to support slot aggregation. As discussed</w:t>
      </w:r>
      <w:r w:rsidR="00A44B43">
        <w:t xml:space="preserve"> in Section 4</w:t>
      </w:r>
      <w:r>
        <w:t>, such type of multi-slot scheduling will be needed for dynamic TDD and can be overall used to decrease the DL control overhead. Other than the proper DCI design to provide the scheduling information, the data transmission in each slot is essentially the same as in case of single-slot scheduling. In the DCI design, there may be some restrictions introduced to reduce the DCI overhead, causing that the scheduling info for the TB in each slot to be not completely independent as e.g. done for multi-subframe scheduling in LTE eLAA.</w:t>
      </w:r>
    </w:p>
    <w:p w14:paraId="6E09CF16" w14:textId="0761EE69" w:rsidR="00704495" w:rsidRDefault="3E61DC49" w:rsidP="3E61DC49">
      <w:pPr>
        <w:rPr>
          <w:i/>
          <w:iCs/>
        </w:rPr>
      </w:pPr>
      <w:r w:rsidRPr="3E61DC49">
        <w:rPr>
          <w:b/>
          <w:bCs/>
          <w:i/>
          <w:iCs/>
        </w:rPr>
        <w:t xml:space="preserve">Proposal </w:t>
      </w:r>
      <w:r w:rsidR="008B72EC" w:rsidRPr="3E61DC49">
        <w:rPr>
          <w:b/>
          <w:bCs/>
          <w:i/>
          <w:iCs/>
        </w:rPr>
        <w:t>1</w:t>
      </w:r>
      <w:r w:rsidR="008B72EC">
        <w:rPr>
          <w:b/>
          <w:bCs/>
          <w:i/>
          <w:iCs/>
        </w:rPr>
        <w:t>9</w:t>
      </w:r>
      <w:r w:rsidRPr="3E61DC49">
        <w:rPr>
          <w:b/>
          <w:bCs/>
          <w:i/>
          <w:iCs/>
        </w:rPr>
        <w:t>:</w:t>
      </w:r>
      <w:r w:rsidRPr="3E61DC49">
        <w:rPr>
          <w:i/>
          <w:iCs/>
        </w:rPr>
        <w:t xml:space="preserve"> In case of slot aggregation in Rel-15, the following </w:t>
      </w:r>
      <w:r w:rsidR="00082154">
        <w:rPr>
          <w:i/>
          <w:iCs/>
        </w:rPr>
        <w:t>option is</w:t>
      </w:r>
      <w:r w:rsidRPr="3E61DC49">
        <w:rPr>
          <w:i/>
          <w:iCs/>
        </w:rPr>
        <w:t xml:space="preserve"> supported: one TB is mapped to each slot.</w:t>
      </w:r>
    </w:p>
    <w:p w14:paraId="68EAD119" w14:textId="6EBB4D2F" w:rsidR="00082154" w:rsidRDefault="00082154" w:rsidP="00082154">
      <w:pPr>
        <w:rPr>
          <w:i/>
          <w:iCs/>
        </w:rPr>
      </w:pPr>
      <w:r w:rsidRPr="3E61DC49">
        <w:rPr>
          <w:b/>
          <w:bCs/>
          <w:i/>
          <w:iCs/>
        </w:rPr>
        <w:t xml:space="preserve">Proposal </w:t>
      </w:r>
      <w:r w:rsidR="008B72EC">
        <w:rPr>
          <w:b/>
          <w:bCs/>
          <w:i/>
          <w:iCs/>
        </w:rPr>
        <w:t>20</w:t>
      </w:r>
      <w:r w:rsidRPr="3E61DC49">
        <w:rPr>
          <w:b/>
          <w:bCs/>
          <w:i/>
          <w:iCs/>
        </w:rPr>
        <w:t>:</w:t>
      </w:r>
      <w:r w:rsidRPr="3E61DC49">
        <w:rPr>
          <w:i/>
          <w:iCs/>
        </w:rPr>
        <w:t xml:space="preserve"> </w:t>
      </w:r>
      <w:r w:rsidR="008F2908">
        <w:rPr>
          <w:i/>
          <w:iCs/>
        </w:rPr>
        <w:t>For</w:t>
      </w:r>
      <w:r w:rsidRPr="00082154">
        <w:rPr>
          <w:i/>
          <w:iCs/>
        </w:rPr>
        <w:t xml:space="preserve"> grant-based DL or UL transmissions, a TB can</w:t>
      </w:r>
      <w:r w:rsidR="008F2908">
        <w:rPr>
          <w:i/>
          <w:iCs/>
        </w:rPr>
        <w:t>not</w:t>
      </w:r>
      <w:r w:rsidRPr="00082154">
        <w:rPr>
          <w:i/>
          <w:iCs/>
        </w:rPr>
        <w:t xml:space="preserve"> span multiple slots without repetitions</w:t>
      </w:r>
      <w:r w:rsidRPr="3E61DC49">
        <w:rPr>
          <w:i/>
          <w:iCs/>
        </w:rPr>
        <w:t>.</w:t>
      </w:r>
    </w:p>
    <w:p w14:paraId="30E029DD" w14:textId="6ED32DE5" w:rsidR="0034111C" w:rsidRPr="00A51522" w:rsidRDefault="00704495" w:rsidP="3E61DC49">
      <w:pPr>
        <w:pStyle w:val="Heading1"/>
        <w:rPr>
          <w:color w:val="000000" w:themeColor="text1"/>
        </w:rPr>
      </w:pPr>
      <w:r>
        <w:rPr>
          <w:color w:val="000000"/>
        </w:rPr>
        <w:t>6</w:t>
      </w:r>
      <w:r w:rsidR="0034111C" w:rsidRPr="00A51522">
        <w:rPr>
          <w:color w:val="000000"/>
        </w:rPr>
        <w:tab/>
      </w:r>
      <w:r w:rsidR="00EE7FA7" w:rsidRPr="00A51522">
        <w:rPr>
          <w:color w:val="000000"/>
        </w:rPr>
        <w:t>Conclusion</w:t>
      </w:r>
    </w:p>
    <w:p w14:paraId="199B8CA9" w14:textId="60366824" w:rsidR="00731B79" w:rsidRDefault="003D3FBA" w:rsidP="003B3C64">
      <w:pPr>
        <w:jc w:val="both"/>
      </w:pPr>
      <w:r w:rsidRPr="00A51522">
        <w:t xml:space="preserve">In this </w:t>
      </w:r>
      <w:r w:rsidR="00986146" w:rsidRPr="00A51522">
        <w:t>contribution,</w:t>
      </w:r>
      <w:r w:rsidRPr="00A51522">
        <w:t xml:space="preserve"> we have discussed </w:t>
      </w:r>
      <w:r w:rsidR="32975CEE" w:rsidRPr="00A51522">
        <w:t xml:space="preserve">remaining open items related to resource allocation of DL and UL shared channels. Based on the discussion we make the following </w:t>
      </w:r>
      <w:r w:rsidR="00A44B43">
        <w:t xml:space="preserve">observation and </w:t>
      </w:r>
      <w:r w:rsidR="32975CEE" w:rsidRPr="00A51522">
        <w:t xml:space="preserve">proposals: </w:t>
      </w:r>
    </w:p>
    <w:p w14:paraId="39A155C3" w14:textId="77777777" w:rsidR="00C95609" w:rsidRPr="00C95609" w:rsidRDefault="00C95609" w:rsidP="00C95609">
      <w:pPr>
        <w:rPr>
          <w:i/>
          <w:iCs/>
        </w:rPr>
      </w:pPr>
      <w:r w:rsidRPr="00C95609">
        <w:rPr>
          <w:b/>
          <w:bCs/>
          <w:i/>
          <w:iCs/>
        </w:rPr>
        <w:t>Observation 1:</w:t>
      </w:r>
      <w:r w:rsidRPr="00C95609">
        <w:rPr>
          <w:i/>
          <w:iCs/>
        </w:rPr>
        <w:t xml:space="preserve"> There is no obvious benefit to support RBG size of 3 or 6 if resource sharing of PDCCH and PDSCH on the same symbol is achieved by having PDSCH rate match around the indicated control resources.</w:t>
      </w:r>
    </w:p>
    <w:p w14:paraId="7D63F420" w14:textId="77777777" w:rsidR="00C95609" w:rsidRPr="00C95609" w:rsidRDefault="00C95609" w:rsidP="00C95609">
      <w:pPr>
        <w:spacing w:after="0"/>
        <w:jc w:val="both"/>
        <w:rPr>
          <w:rFonts w:eastAsia="MS Mincho"/>
          <w:i/>
          <w:iCs/>
          <w:lang w:val="en-US" w:eastAsia="ja-JP"/>
        </w:rPr>
      </w:pPr>
      <w:r w:rsidRPr="00C95609">
        <w:rPr>
          <w:rFonts w:eastAsia="MS Mincho"/>
          <w:b/>
          <w:bCs/>
          <w:i/>
          <w:iCs/>
          <w:lang w:eastAsia="ja-JP"/>
        </w:rPr>
        <w:t>Proposal 1:</w:t>
      </w:r>
      <w:r w:rsidRPr="00C95609">
        <w:rPr>
          <w:rFonts w:eastAsia="MS Mincho"/>
          <w:i/>
          <w:iCs/>
          <w:lang w:eastAsia="ja-JP"/>
        </w:rPr>
        <w:t xml:space="preserve"> The set of supported RBG sizes includes entries defined by </w:t>
      </w:r>
      <w:r w:rsidRPr="00C95609">
        <w:rPr>
          <w:rFonts w:eastAsia="MS Mincho"/>
          <w:i/>
          <w:iCs/>
          <w:lang w:val="en-US" w:eastAsia="ja-JP"/>
        </w:rPr>
        <w:t>2</w:t>
      </w:r>
      <w:r w:rsidRPr="00C95609">
        <w:rPr>
          <w:rFonts w:eastAsia="MS Mincho"/>
          <w:i/>
          <w:iCs/>
          <w:vertAlign w:val="superscript"/>
          <w:lang w:val="en-US" w:eastAsia="ja-JP"/>
        </w:rPr>
        <w:t>n</w:t>
      </w:r>
      <w:r w:rsidRPr="00C95609">
        <w:rPr>
          <w:rFonts w:eastAsia="MS Mincho"/>
          <w:i/>
          <w:iCs/>
          <w:lang w:eastAsia="ja-JP"/>
        </w:rPr>
        <w:t xml:space="preserve">, where </w:t>
      </w:r>
      <w:r w:rsidRPr="00C95609">
        <w:rPr>
          <w:rFonts w:eastAsia="MS Mincho"/>
          <w:i/>
          <w:iCs/>
          <w:lang w:val="en-US" w:eastAsia="ja-JP"/>
        </w:rPr>
        <w:t xml:space="preserve">n=[1,2,3,4] </w:t>
      </w:r>
    </w:p>
    <w:p w14:paraId="7E996B1A" w14:textId="77777777" w:rsidR="00C95609" w:rsidRPr="00C95609" w:rsidRDefault="00C95609" w:rsidP="00F0021E">
      <w:pPr>
        <w:pStyle w:val="ListParagraph"/>
        <w:numPr>
          <w:ilvl w:val="0"/>
          <w:numId w:val="7"/>
        </w:numPr>
        <w:spacing w:after="120"/>
        <w:jc w:val="both"/>
        <w:rPr>
          <w:rFonts w:eastAsia="MS Mincho"/>
          <w:i/>
          <w:lang w:val="en-US" w:eastAsia="ja-JP"/>
        </w:rPr>
      </w:pPr>
      <w:r w:rsidRPr="00C95609">
        <w:rPr>
          <w:rFonts w:eastAsia="MS Mincho"/>
          <w:i/>
          <w:iCs/>
          <w:sz w:val="20"/>
          <w:szCs w:val="20"/>
          <w:lang w:val="en-US" w:eastAsia="ja-JP"/>
        </w:rPr>
        <w:t>FFS on support of values n&gt;4.</w:t>
      </w:r>
    </w:p>
    <w:p w14:paraId="5EAED1D5" w14:textId="77777777" w:rsidR="00C95609" w:rsidRPr="00C95609" w:rsidRDefault="00C95609" w:rsidP="00C95609">
      <w:pPr>
        <w:spacing w:after="0"/>
        <w:rPr>
          <w:i/>
          <w:iCs/>
        </w:rPr>
      </w:pPr>
      <w:r w:rsidRPr="00C95609">
        <w:rPr>
          <w:b/>
          <w:bCs/>
          <w:i/>
          <w:iCs/>
        </w:rPr>
        <w:t xml:space="preserve">Proposal 2: </w:t>
      </w:r>
      <w:r w:rsidRPr="00C95609">
        <w:rPr>
          <w:i/>
          <w:iCs/>
        </w:rPr>
        <w:t xml:space="preserve">For resource allocation based on LTE DL type 0, the size X of the RA bitmap is semi-statically configured per DCI format a UE shall monitor, and down-select between the following two options: </w:t>
      </w:r>
    </w:p>
    <w:p w14:paraId="73B4CF4A" w14:textId="77777777" w:rsidR="00C95609" w:rsidRPr="00C95609" w:rsidRDefault="00C95609" w:rsidP="00F0021E">
      <w:pPr>
        <w:pStyle w:val="ListParagraph"/>
        <w:numPr>
          <w:ilvl w:val="0"/>
          <w:numId w:val="7"/>
        </w:numPr>
        <w:rPr>
          <w:rFonts w:eastAsia="MS Mincho"/>
          <w:b/>
          <w:bCs/>
          <w:i/>
          <w:u w:val="single"/>
          <w:lang w:val="en-US" w:eastAsia="ja-JP"/>
        </w:rPr>
      </w:pPr>
      <w:r w:rsidRPr="00C95609">
        <w:rPr>
          <w:rFonts w:eastAsia="Yu Mincho"/>
          <w:i/>
          <w:iCs/>
          <w:sz w:val="20"/>
          <w:szCs w:val="20"/>
          <w:lang w:val="en-US" w:eastAsia="ja-JP"/>
        </w:rPr>
        <w:t xml:space="preserve">Option 1: the RBGs size is determined (out of supported RBG values) based on the size of BWP and the size of the RA bitmap X. </w:t>
      </w:r>
    </w:p>
    <w:p w14:paraId="7A812DD5" w14:textId="77777777" w:rsidR="00C95609" w:rsidRPr="00C95609" w:rsidRDefault="00C95609" w:rsidP="00F0021E">
      <w:pPr>
        <w:pStyle w:val="ListParagraph"/>
        <w:numPr>
          <w:ilvl w:val="0"/>
          <w:numId w:val="7"/>
        </w:numPr>
        <w:spacing w:after="240"/>
        <w:rPr>
          <w:rFonts w:eastAsia="MS Mincho"/>
          <w:b/>
          <w:bCs/>
          <w:i/>
          <w:iCs/>
          <w:u w:val="single"/>
          <w:lang w:val="en-US" w:eastAsia="ja-JP"/>
        </w:rPr>
      </w:pPr>
      <w:r w:rsidRPr="00C95609">
        <w:rPr>
          <w:rFonts w:eastAsia="Yu Mincho"/>
          <w:i/>
          <w:iCs/>
          <w:sz w:val="20"/>
          <w:szCs w:val="20"/>
          <w:lang w:val="en-US" w:eastAsia="ja-JP"/>
        </w:rPr>
        <w:t>Option 2:</w:t>
      </w:r>
      <w:r w:rsidRPr="00C95609">
        <w:rPr>
          <w:i/>
          <w:sz w:val="20"/>
          <w:szCs w:val="20"/>
          <w:lang w:val="en-US"/>
        </w:rPr>
        <w:t xml:space="preserve"> </w:t>
      </w:r>
      <w:r w:rsidRPr="00C95609">
        <w:rPr>
          <w:i/>
          <w:iCs/>
          <w:sz w:val="20"/>
          <w:szCs w:val="20"/>
          <w:lang w:val="en-US"/>
        </w:rPr>
        <w:t>the RBG size is configured per BWP. If number of required bits is smaller than X, eNB adds padding bits to RA field, if number of required bits is larger than X, then eNB may allocate only part of the BWP. FFS on the part of BWP.</w:t>
      </w:r>
    </w:p>
    <w:p w14:paraId="48C85092" w14:textId="0E6CF053" w:rsidR="00C95609" w:rsidRPr="00C95609" w:rsidRDefault="00C95609" w:rsidP="00C95609">
      <w:pPr>
        <w:rPr>
          <w:i/>
          <w:iCs/>
        </w:rPr>
      </w:pPr>
      <w:r w:rsidRPr="00C95609">
        <w:rPr>
          <w:b/>
          <w:bCs/>
          <w:i/>
          <w:iCs/>
        </w:rPr>
        <w:t>Proposal 3:</w:t>
      </w:r>
      <w:r w:rsidRPr="00C95609">
        <w:rPr>
          <w:i/>
          <w:iCs/>
        </w:rPr>
        <w:t xml:space="preserve"> For resource allocation based on LTE DL RA type 2, a coarse granularity of more than one PRB is supported. The RBG size on the BWP is determined </w:t>
      </w:r>
      <w:r w:rsidR="00381953">
        <w:rPr>
          <w:i/>
          <w:iCs/>
        </w:rPr>
        <w:t>according to</w:t>
      </w:r>
      <w:r w:rsidRPr="00C95609">
        <w:rPr>
          <w:i/>
          <w:iCs/>
        </w:rPr>
        <w:t xml:space="preserve"> the same principle as for LTE DL RA type 0 (see Proposal 2).</w:t>
      </w:r>
    </w:p>
    <w:p w14:paraId="47C7C52F" w14:textId="77777777" w:rsidR="00C95609" w:rsidRPr="00C95609" w:rsidRDefault="00C95609" w:rsidP="00C95609">
      <w:pPr>
        <w:rPr>
          <w:i/>
          <w:iCs/>
        </w:rPr>
      </w:pPr>
      <w:r w:rsidRPr="00C95609">
        <w:rPr>
          <w:b/>
          <w:bCs/>
          <w:i/>
          <w:iCs/>
        </w:rPr>
        <w:t>Proposal 4</w:t>
      </w:r>
      <w:r w:rsidRPr="00C95609">
        <w:rPr>
          <w:i/>
          <w:iCs/>
        </w:rPr>
        <w:t>: Different DCI formats are used for resource allocation based on LTE DL RA type 0 and type 2, i.e. a single DCI format can schedule either RA type 0 or RA type2.</w:t>
      </w:r>
    </w:p>
    <w:p w14:paraId="55E4753D" w14:textId="77777777" w:rsidR="00C95609" w:rsidRPr="00C95609" w:rsidRDefault="00C95609" w:rsidP="00C95609">
      <w:pPr>
        <w:rPr>
          <w:i/>
          <w:iCs/>
        </w:rPr>
      </w:pPr>
      <w:r w:rsidRPr="00C95609">
        <w:rPr>
          <w:b/>
          <w:bCs/>
          <w:i/>
          <w:iCs/>
        </w:rPr>
        <w:t>Proposal 5</w:t>
      </w:r>
      <w:r w:rsidRPr="00C95609">
        <w:rPr>
          <w:i/>
          <w:iCs/>
        </w:rPr>
        <w:t>: For resource allocation based on LTE DL RA type 2, both contiguous and non-contiguous RA are supported. Intra-slot frequency hopping is not supported. FFS the details of non-contiguous RA.</w:t>
      </w:r>
    </w:p>
    <w:p w14:paraId="387284D8" w14:textId="77777777" w:rsidR="00C95609" w:rsidRPr="00C95609" w:rsidRDefault="00C95609" w:rsidP="00C95609">
      <w:pPr>
        <w:rPr>
          <w:i/>
          <w:lang w:val="en-US"/>
        </w:rPr>
      </w:pPr>
      <w:r w:rsidRPr="00C95609">
        <w:rPr>
          <w:b/>
          <w:bCs/>
          <w:i/>
          <w:iCs/>
        </w:rPr>
        <w:t>Proposal 6</w:t>
      </w:r>
      <w:r w:rsidRPr="00C95609">
        <w:rPr>
          <w:i/>
          <w:iCs/>
        </w:rPr>
        <w:t>: Resource allocation based on LTE UL RA type 0 is defined in the same way as resource allocation based on LTE DL RA type 2 with contiguous resource allocation.</w:t>
      </w:r>
    </w:p>
    <w:p w14:paraId="1C5F2A96" w14:textId="77777777" w:rsidR="00C95609" w:rsidRPr="00C95609" w:rsidRDefault="00C95609" w:rsidP="00C95609">
      <w:pPr>
        <w:rPr>
          <w:rFonts w:eastAsia="MS Mincho"/>
          <w:i/>
          <w:iCs/>
          <w:lang w:val="en-US" w:eastAsia="ja-JP"/>
        </w:rPr>
      </w:pPr>
      <w:r w:rsidRPr="00C95609">
        <w:rPr>
          <w:rFonts w:eastAsia="MS Mincho"/>
          <w:b/>
          <w:bCs/>
          <w:i/>
          <w:iCs/>
          <w:lang w:val="en-US" w:eastAsia="ja-JP"/>
        </w:rPr>
        <w:t xml:space="preserve">Proposal 7: </w:t>
      </w:r>
      <w:r w:rsidRPr="00C95609">
        <w:rPr>
          <w:rFonts w:eastAsia="MS Mincho"/>
          <w:i/>
          <w:iCs/>
          <w:lang w:val="en-US" w:eastAsia="ja-JP"/>
        </w:rPr>
        <w:t>PUSCH waveform is configured using higher layer signalling. DFT-S-OFDM does not introduce any additional bits in DCI scheduling PUSCH, and the DCI format for resource allocation based on LTE UL RA type 0 is the same for DFT-S-OFDM and CP-OFDM based PUSCH.</w:t>
      </w:r>
    </w:p>
    <w:p w14:paraId="09F18759" w14:textId="77777777" w:rsidR="00C95609" w:rsidRPr="00C95609" w:rsidRDefault="00C95609" w:rsidP="00C95609">
      <w:pPr>
        <w:rPr>
          <w:i/>
          <w:iCs/>
          <w:lang w:val="en-US"/>
        </w:rPr>
      </w:pPr>
      <w:r w:rsidRPr="00C95609">
        <w:rPr>
          <w:b/>
          <w:bCs/>
          <w:i/>
          <w:iCs/>
          <w:lang w:val="en-US"/>
        </w:rPr>
        <w:t>Proposal 8</w:t>
      </w:r>
      <w:r w:rsidRPr="00C95609">
        <w:rPr>
          <w:i/>
          <w:iCs/>
          <w:lang w:val="en-US"/>
        </w:rPr>
        <w:t>: For frequency-domain resource allocation in a BWP, UE-specific PRB indexing is used. That is, i</w:t>
      </w:r>
      <w:r w:rsidRPr="00C95609">
        <w:rPr>
          <w:rFonts w:eastAsia="MS Mincho"/>
          <w:i/>
          <w:iCs/>
          <w:lang w:val="en-US" w:eastAsia="ja-JP"/>
        </w:rPr>
        <w:t>t is indexed within the BWP with respect to the configured SCS for the BWP</w:t>
      </w:r>
      <w:r w:rsidRPr="00C95609">
        <w:rPr>
          <w:i/>
          <w:iCs/>
          <w:lang w:val="en-US"/>
        </w:rPr>
        <w:t>.</w:t>
      </w:r>
    </w:p>
    <w:p w14:paraId="11E2266B" w14:textId="77777777" w:rsidR="00C95609" w:rsidRPr="00C95609" w:rsidRDefault="00C95609" w:rsidP="00C95609">
      <w:pPr>
        <w:jc w:val="both"/>
        <w:rPr>
          <w:i/>
        </w:rPr>
      </w:pPr>
      <w:r w:rsidRPr="00C95609">
        <w:rPr>
          <w:b/>
          <w:bCs/>
          <w:i/>
        </w:rPr>
        <w:t xml:space="preserve">Proposal 9: </w:t>
      </w:r>
      <w:r w:rsidRPr="00C95609">
        <w:rPr>
          <w:i/>
          <w:iCs/>
        </w:rPr>
        <w:t>In TDD operation, the maximum DL/UL switching rate is 8 kHz, and there is at most one DL/UL switch within a minimum scheduling interval for slot-based scheduling. I.e. if SCS of 240 kHz or higher is introduced, then slot aggregation is required.</w:t>
      </w:r>
      <w:r w:rsidRPr="00C95609">
        <w:rPr>
          <w:i/>
        </w:rPr>
        <w:t xml:space="preserve">  </w:t>
      </w:r>
    </w:p>
    <w:p w14:paraId="15C7EAB6" w14:textId="7D5A7890" w:rsidR="00C95609" w:rsidRDefault="00C95609" w:rsidP="00C95609">
      <w:pPr>
        <w:rPr>
          <w:lang w:eastAsia="x-none"/>
        </w:rPr>
      </w:pPr>
      <w:r w:rsidRPr="00C95609">
        <w:rPr>
          <w:b/>
          <w:bCs/>
          <w:i/>
        </w:rPr>
        <w:t xml:space="preserve">Proposal 10: </w:t>
      </w:r>
      <w:r w:rsidRPr="00C95609">
        <w:rPr>
          <w:i/>
          <w:iCs/>
        </w:rPr>
        <w:t>A slot-aggregate consist of 1, 2, 4 or 8 slots with the possibility to extend it to larger values in the future</w:t>
      </w:r>
      <w:r>
        <w:rPr>
          <w:i/>
          <w:iCs/>
        </w:rPr>
        <w:t>.</w:t>
      </w:r>
    </w:p>
    <w:p w14:paraId="3183FB4B" w14:textId="77777777" w:rsidR="00C95609" w:rsidRPr="00C95609" w:rsidRDefault="00C95609" w:rsidP="00C95609">
      <w:pPr>
        <w:rPr>
          <w:rFonts w:eastAsia="MS Mincho"/>
          <w:i/>
          <w:iCs/>
          <w:lang w:eastAsia="ja-JP"/>
        </w:rPr>
      </w:pPr>
      <w:r w:rsidRPr="00C95609">
        <w:rPr>
          <w:rFonts w:eastAsia="MS Mincho"/>
          <w:b/>
          <w:bCs/>
          <w:i/>
          <w:iCs/>
          <w:lang w:eastAsia="ja-JP"/>
        </w:rPr>
        <w:t xml:space="preserve">Proposal 11: </w:t>
      </w:r>
      <w:r w:rsidRPr="00C95609">
        <w:rPr>
          <w:rFonts w:eastAsia="MS Mincho"/>
          <w:i/>
          <w:iCs/>
          <w:lang w:eastAsia="ja-JP"/>
        </w:rPr>
        <w:t>Consider a fixed value K0=0, for the case when the timings are unknown to UE.</w:t>
      </w:r>
    </w:p>
    <w:p w14:paraId="2F4C4869" w14:textId="0BBF7130" w:rsidR="00C95609" w:rsidRDefault="00C95609" w:rsidP="00C95609">
      <w:pPr>
        <w:rPr>
          <w:rFonts w:eastAsia="MS Mincho"/>
          <w:i/>
          <w:iCs/>
          <w:lang w:eastAsia="ja-JP"/>
        </w:rPr>
      </w:pPr>
      <w:r w:rsidRPr="00C95609">
        <w:rPr>
          <w:rFonts w:eastAsia="MS Mincho"/>
          <w:b/>
          <w:bCs/>
          <w:i/>
          <w:iCs/>
          <w:lang w:eastAsia="ja-JP"/>
        </w:rPr>
        <w:t xml:space="preserve">Proposal 12: </w:t>
      </w:r>
      <w:r w:rsidRPr="00C95609">
        <w:rPr>
          <w:rFonts w:eastAsia="MS Mincho"/>
          <w:i/>
          <w:iCs/>
          <w:lang w:eastAsia="ja-JP"/>
        </w:rPr>
        <w:t>Consider a predefined set of values for dynamic indication of K2 for the case when the timings are unknown to UE.</w:t>
      </w:r>
    </w:p>
    <w:p w14:paraId="2CB8BB70" w14:textId="1AC6C666" w:rsidR="008B72EC" w:rsidRPr="004D29CA" w:rsidRDefault="008B72EC" w:rsidP="008B72EC">
      <w:pPr>
        <w:overflowPunct/>
        <w:autoSpaceDE/>
        <w:autoSpaceDN/>
        <w:adjustRightInd/>
        <w:textAlignment w:val="auto"/>
        <w:rPr>
          <w:rFonts w:eastAsia="MS Mincho"/>
          <w:i/>
          <w:iCs/>
          <w:lang w:val="en-US" w:eastAsia="ja-JP"/>
        </w:rPr>
      </w:pPr>
      <w:r w:rsidRPr="00C95609">
        <w:rPr>
          <w:rFonts w:eastAsia="MS Mincho"/>
          <w:b/>
          <w:bCs/>
          <w:i/>
          <w:iCs/>
          <w:lang w:val="en-US" w:eastAsia="ja-JP"/>
        </w:rPr>
        <w:t>Proposal 13:</w:t>
      </w:r>
      <w:r w:rsidRPr="32975CEE">
        <w:rPr>
          <w:rFonts w:eastAsia="MS Mincho"/>
          <w:b/>
          <w:bCs/>
          <w:i/>
          <w:iCs/>
          <w:lang w:val="en-US" w:eastAsia="ja-JP"/>
        </w:rPr>
        <w:t xml:space="preserve"> </w:t>
      </w:r>
      <w:r>
        <w:rPr>
          <w:rFonts w:eastAsia="MS Mincho"/>
          <w:i/>
          <w:iCs/>
          <w:lang w:val="en-US" w:eastAsia="ja-JP"/>
        </w:rPr>
        <w:t>For slot based scheduling, DCI indicates both</w:t>
      </w:r>
      <w:r w:rsidRPr="32975CEE">
        <w:rPr>
          <w:rFonts w:eastAsia="MS Mincho"/>
          <w:i/>
          <w:iCs/>
          <w:lang w:val="en-US" w:eastAsia="ja-JP"/>
        </w:rPr>
        <w:t xml:space="preserve"> starting </w:t>
      </w:r>
      <w:r>
        <w:rPr>
          <w:rFonts w:eastAsia="MS Mincho"/>
          <w:i/>
          <w:iCs/>
          <w:lang w:val="en-US" w:eastAsia="ja-JP"/>
        </w:rPr>
        <w:t>and ending symbol</w:t>
      </w:r>
      <w:r w:rsidRPr="32975CEE">
        <w:rPr>
          <w:rFonts w:eastAsia="MS Mincho"/>
          <w:i/>
          <w:iCs/>
          <w:lang w:val="en-US" w:eastAsia="ja-JP"/>
        </w:rPr>
        <w:t xml:space="preserve"> using a single index configured by RRC.</w:t>
      </w:r>
      <w:r w:rsidR="00556E32">
        <w:rPr>
          <w:rFonts w:eastAsia="MS Mincho"/>
          <w:i/>
          <w:iCs/>
          <w:lang w:val="en-US" w:eastAsia="ja-JP"/>
        </w:rPr>
        <w:t xml:space="preserve"> </w:t>
      </w:r>
      <w:r w:rsidR="00556E32" w:rsidRPr="00724DF5">
        <w:rPr>
          <w:i/>
          <w:lang w:val="en-US"/>
        </w:rPr>
        <w:t>PDSCH and PUSCH require separate configuratinos</w:t>
      </w:r>
      <w:r w:rsidR="00556E32">
        <w:rPr>
          <w:i/>
          <w:lang w:val="en-US"/>
        </w:rPr>
        <w:t>.</w:t>
      </w:r>
    </w:p>
    <w:p w14:paraId="1C82A7A8" w14:textId="7A714C56" w:rsidR="00C95609" w:rsidRPr="004D29CA" w:rsidRDefault="00C95609" w:rsidP="00C95609">
      <w:pPr>
        <w:overflowPunct/>
        <w:autoSpaceDE/>
        <w:autoSpaceDN/>
        <w:adjustRightInd/>
        <w:textAlignment w:val="auto"/>
        <w:rPr>
          <w:rFonts w:eastAsia="MS Mincho"/>
          <w:i/>
          <w:iCs/>
          <w:lang w:val="en-US" w:eastAsia="ja-JP"/>
        </w:rPr>
      </w:pPr>
      <w:r w:rsidRPr="00C95609">
        <w:rPr>
          <w:rFonts w:eastAsia="MS Mincho"/>
          <w:b/>
          <w:bCs/>
          <w:i/>
          <w:iCs/>
          <w:lang w:val="en-US" w:eastAsia="ja-JP"/>
        </w:rPr>
        <w:t xml:space="preserve">Proposal </w:t>
      </w:r>
      <w:r w:rsidR="008B72EC" w:rsidRPr="00C95609">
        <w:rPr>
          <w:rFonts w:eastAsia="MS Mincho"/>
          <w:b/>
          <w:bCs/>
          <w:i/>
          <w:iCs/>
          <w:lang w:val="en-US" w:eastAsia="ja-JP"/>
        </w:rPr>
        <w:t>1</w:t>
      </w:r>
      <w:r w:rsidR="008B72EC">
        <w:rPr>
          <w:rFonts w:eastAsia="MS Mincho"/>
          <w:b/>
          <w:bCs/>
          <w:i/>
          <w:iCs/>
          <w:lang w:val="en-US" w:eastAsia="ja-JP"/>
        </w:rPr>
        <w:t>4</w:t>
      </w:r>
      <w:r w:rsidRPr="00C95609">
        <w:rPr>
          <w:rFonts w:eastAsia="MS Mincho"/>
          <w:b/>
          <w:bCs/>
          <w:i/>
          <w:iCs/>
          <w:lang w:val="en-US" w:eastAsia="ja-JP"/>
        </w:rPr>
        <w:t>:</w:t>
      </w:r>
      <w:r w:rsidRPr="32975CEE">
        <w:rPr>
          <w:rFonts w:eastAsia="MS Mincho"/>
          <w:b/>
          <w:bCs/>
          <w:i/>
          <w:iCs/>
          <w:lang w:val="en-US" w:eastAsia="ja-JP"/>
        </w:rPr>
        <w:t xml:space="preserve"> </w:t>
      </w:r>
      <w:r w:rsidRPr="32975CEE">
        <w:rPr>
          <w:rFonts w:eastAsia="MS Mincho"/>
          <w:i/>
          <w:iCs/>
          <w:lang w:val="en-US" w:eastAsia="ja-JP"/>
        </w:rPr>
        <w:t>Support indication of both starting position and the duration of (PDSCH/PUSCH) mini-slot using a single index configured by RRC.</w:t>
      </w:r>
    </w:p>
    <w:p w14:paraId="5B66A4C2" w14:textId="678A6AD6" w:rsidR="00C95609" w:rsidRDefault="00C95609" w:rsidP="00C95609">
      <w:pPr>
        <w:jc w:val="both"/>
        <w:rPr>
          <w:i/>
          <w:iCs/>
        </w:rPr>
      </w:pPr>
      <w:r w:rsidRPr="00C95609">
        <w:rPr>
          <w:b/>
          <w:bCs/>
          <w:i/>
        </w:rPr>
        <w:t xml:space="preserve">Proposal </w:t>
      </w:r>
      <w:r w:rsidR="008B72EC" w:rsidRPr="00C95609">
        <w:rPr>
          <w:b/>
          <w:bCs/>
          <w:i/>
        </w:rPr>
        <w:t>1</w:t>
      </w:r>
      <w:r w:rsidR="008B72EC">
        <w:rPr>
          <w:b/>
          <w:bCs/>
          <w:i/>
        </w:rPr>
        <w:t>5</w:t>
      </w:r>
      <w:r w:rsidRPr="00C95609">
        <w:rPr>
          <w:b/>
          <w:bCs/>
          <w:i/>
        </w:rPr>
        <w:t>:</w:t>
      </w:r>
      <w:r w:rsidRPr="3E61DC49">
        <w:rPr>
          <w:b/>
          <w:bCs/>
        </w:rPr>
        <w:t xml:space="preserve"> </w:t>
      </w:r>
      <w:r w:rsidRPr="3E61DC49">
        <w:rPr>
          <w:i/>
          <w:iCs/>
        </w:rPr>
        <w:t>Dynamic indication of the starting position for PUSCH mini-slot is based on Opt. 1 (slot index, and the starting symbol of the slot).</w:t>
      </w:r>
    </w:p>
    <w:p w14:paraId="0BCB8052" w14:textId="44318DA7" w:rsidR="00C95609" w:rsidRDefault="00C95609" w:rsidP="00C95609">
      <w:pPr>
        <w:jc w:val="both"/>
        <w:rPr>
          <w:lang w:val="en-US"/>
        </w:rPr>
      </w:pPr>
      <w:r w:rsidRPr="00C95609">
        <w:rPr>
          <w:b/>
          <w:bCs/>
          <w:i/>
        </w:rPr>
        <w:t xml:space="preserve">Proposal </w:t>
      </w:r>
      <w:r w:rsidR="008B72EC" w:rsidRPr="00C95609">
        <w:rPr>
          <w:b/>
          <w:bCs/>
          <w:i/>
        </w:rPr>
        <w:t>1</w:t>
      </w:r>
      <w:r w:rsidR="008B72EC">
        <w:rPr>
          <w:b/>
          <w:bCs/>
          <w:i/>
        </w:rPr>
        <w:t>6</w:t>
      </w:r>
      <w:r w:rsidRPr="00C95609">
        <w:rPr>
          <w:b/>
          <w:bCs/>
          <w:i/>
        </w:rPr>
        <w:t>:</w:t>
      </w:r>
      <w:r w:rsidRPr="3E61DC49">
        <w:rPr>
          <w:b/>
          <w:bCs/>
        </w:rPr>
        <w:t xml:space="preserve"> </w:t>
      </w:r>
      <w:r w:rsidRPr="3E61DC49">
        <w:rPr>
          <w:i/>
          <w:iCs/>
        </w:rPr>
        <w:t>Dynamic indication of the starting position for PDSCH</w:t>
      </w:r>
      <w:r>
        <w:rPr>
          <w:i/>
          <w:iCs/>
        </w:rPr>
        <w:t xml:space="preserve"> mini-slot</w:t>
      </w:r>
      <w:r w:rsidRPr="3E61DC49">
        <w:rPr>
          <w:i/>
          <w:iCs/>
        </w:rPr>
        <w:t xml:space="preserve"> is based on Opt. 2 (symbol number from the start of PDCCH where scheduling PDCCH is included)</w:t>
      </w:r>
      <w:r>
        <w:rPr>
          <w:i/>
          <w:iCs/>
        </w:rPr>
        <w:t>.</w:t>
      </w:r>
    </w:p>
    <w:p w14:paraId="1906751A" w14:textId="3C140773" w:rsidR="00C95609" w:rsidRPr="0089362C" w:rsidRDefault="00C95609" w:rsidP="00C95609">
      <w:pPr>
        <w:rPr>
          <w:i/>
          <w:iCs/>
          <w:lang w:val="en-US"/>
        </w:rPr>
      </w:pPr>
      <w:r w:rsidRPr="00C95609">
        <w:rPr>
          <w:b/>
          <w:bCs/>
          <w:i/>
        </w:rPr>
        <w:t xml:space="preserve">Proposal </w:t>
      </w:r>
      <w:r w:rsidR="008B72EC" w:rsidRPr="00C95609">
        <w:rPr>
          <w:b/>
          <w:bCs/>
          <w:i/>
        </w:rPr>
        <w:t>1</w:t>
      </w:r>
      <w:r w:rsidR="008B72EC">
        <w:rPr>
          <w:b/>
          <w:bCs/>
          <w:i/>
        </w:rPr>
        <w:t>7</w:t>
      </w:r>
      <w:r w:rsidRPr="00C95609">
        <w:rPr>
          <w:b/>
          <w:bCs/>
          <w:i/>
          <w:iCs/>
        </w:rPr>
        <w:t>:</w:t>
      </w:r>
      <w:r w:rsidRPr="3E61DC49">
        <w:rPr>
          <w:i/>
          <w:iCs/>
        </w:rPr>
        <w:t xml:space="preserve"> In case of slot-based scheduling, the number of slots for a data transmission can be dynamically indicated in DCI. The starting symbol and ending symbol are applied to all the aggregated slots.</w:t>
      </w:r>
    </w:p>
    <w:p w14:paraId="27C71979" w14:textId="1A25DE4C" w:rsidR="00C95609" w:rsidRPr="005F717C" w:rsidRDefault="00C95609" w:rsidP="00C95609">
      <w:pPr>
        <w:jc w:val="both"/>
        <w:rPr>
          <w:i/>
          <w:iCs/>
        </w:rPr>
      </w:pPr>
      <w:r w:rsidRPr="32975CEE">
        <w:rPr>
          <w:b/>
          <w:bCs/>
          <w:i/>
          <w:iCs/>
        </w:rPr>
        <w:t xml:space="preserve">Proposal </w:t>
      </w:r>
      <w:r w:rsidR="008B72EC" w:rsidRPr="32975CEE">
        <w:rPr>
          <w:b/>
          <w:bCs/>
          <w:i/>
          <w:iCs/>
        </w:rPr>
        <w:t>1</w:t>
      </w:r>
      <w:r w:rsidR="008B72EC">
        <w:rPr>
          <w:b/>
          <w:bCs/>
          <w:i/>
          <w:iCs/>
        </w:rPr>
        <w:t>8</w:t>
      </w:r>
      <w:r w:rsidRPr="32975CEE">
        <w:rPr>
          <w:b/>
          <w:bCs/>
          <w:i/>
          <w:iCs/>
        </w:rPr>
        <w:t xml:space="preserve">: </w:t>
      </w:r>
      <w:r w:rsidRPr="32975CEE">
        <w:rPr>
          <w:i/>
          <w:iCs/>
        </w:rPr>
        <w:t xml:space="preserve">The following pre-defined formula shall be used to determine the TBS. </w:t>
      </w:r>
    </w:p>
    <w:p w14:paraId="1C29052F" w14:textId="77777777" w:rsidR="00C95609" w:rsidRPr="005F717C" w:rsidRDefault="00C95609" w:rsidP="00C95609">
      <w:pPr>
        <w:pStyle w:val="BodyText"/>
        <w:jc w:val="both"/>
        <w:rPr>
          <w:rFonts w:eastAsiaTheme="minorEastAsia"/>
          <w:i/>
          <w:iCs/>
          <w:lang w:eastAsia="zh-CN"/>
        </w:rPr>
      </w:pPr>
      <w:r>
        <w:rPr>
          <w:i/>
        </w:rPr>
        <w:tab/>
      </w:r>
      <w:r w:rsidRPr="005F717C">
        <w:rPr>
          <w:i/>
        </w:rPr>
        <w:tab/>
      </w:r>
      <w:r w:rsidRPr="3E61DC49">
        <w:rPr>
          <w:rFonts w:eastAsiaTheme="minorEastAsia"/>
          <w:i/>
          <w:iCs/>
          <w:lang w:eastAsia="zh-CN"/>
        </w:rPr>
        <w:t xml:space="preserve">TBS = </w:t>
      </w:r>
      <m:oMath>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 xml:space="preserve">×R×v </m:t>
                </m:r>
              </m:num>
              <m:den>
                <m:r>
                  <w:rPr>
                    <w:rFonts w:ascii="Cambria Math" w:eastAsiaTheme="minorEastAsia" w:hAnsi="Cambria Math"/>
                    <w:lang w:eastAsia="zh-CN"/>
                  </w:rPr>
                  <m:t xml:space="preserve">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den>
            </m:f>
          </m:e>
        </m:d>
        <m:r>
          <w:rPr>
            <w:rFonts w:ascii="Cambria Math" w:eastAsiaTheme="minorEastAsia" w:hAnsi="Cambria Math"/>
            <w:lang w:eastAsia="zh-CN"/>
          </w:rPr>
          <m:t xml:space="preserve">* 8* </m:t>
        </m:r>
        <m:d>
          <m:dPr>
            <m:begChr m:val="⌈"/>
            <m:endChr m:val="⌉"/>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×R×v +24</m:t>
                </m:r>
              </m:num>
              <m:den>
                <m:r>
                  <w:rPr>
                    <w:rFonts w:ascii="Cambria Math" w:eastAsiaTheme="minorEastAsia" w:hAnsi="Cambria Math"/>
                    <w:lang w:eastAsia="zh-CN"/>
                  </w:rPr>
                  <m:t>8424</m:t>
                </m:r>
              </m:den>
            </m:f>
          </m:e>
        </m:d>
      </m:oMath>
      <w:r w:rsidRPr="3E61DC49">
        <w:rPr>
          <w:rFonts w:eastAsiaTheme="minorEastAsia"/>
          <w:i/>
          <w:iCs/>
          <w:lang w:eastAsia="zh-CN"/>
        </w:rPr>
        <w:t>,</w:t>
      </w:r>
    </w:p>
    <w:p w14:paraId="6CB8A7D3" w14:textId="77777777" w:rsidR="00C95609" w:rsidRPr="005F717C" w:rsidRDefault="00C95609" w:rsidP="00C95609">
      <w:pPr>
        <w:jc w:val="both"/>
        <w:rPr>
          <w:i/>
          <w:iCs/>
          <w:lang w:val="en-US"/>
        </w:rPr>
      </w:pPr>
      <w:r w:rsidRPr="3E61DC49">
        <w:rPr>
          <w:rFonts w:eastAsiaTheme="minorEastAsia"/>
          <w:i/>
          <w:iCs/>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m:t>
            </m:r>
          </m:sub>
        </m:sSub>
      </m:oMath>
      <w:r w:rsidRPr="3E61DC49">
        <w:rPr>
          <w:i/>
          <w:iCs/>
          <w:lang w:val="en-US"/>
        </w:rPr>
        <w:t xml:space="preserve"> = Resource elements, </w:t>
      </w:r>
      <m:oMath>
        <m:sSub>
          <m:sSubPr>
            <m:ctrlPr>
              <w:rPr>
                <w:rFonts w:ascii="Cambria Math" w:eastAsiaTheme="minorEastAsia" w:hAnsi="Cambria Math"/>
                <w:i/>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Pr="3E61DC49">
        <w:rPr>
          <w:i/>
          <w:iCs/>
          <w:lang w:val="en-US"/>
        </w:rPr>
        <w:t xml:space="preserve"> = Modulation order, </w:t>
      </w:r>
      <m:oMath>
        <m:r>
          <w:rPr>
            <w:rFonts w:ascii="Cambria Math" w:eastAsiaTheme="minorEastAsia" w:hAnsi="Cambria Math"/>
            <w:lang w:eastAsia="zh-CN"/>
          </w:rPr>
          <m:t>R</m:t>
        </m:r>
      </m:oMath>
      <w:r w:rsidRPr="3E61DC49">
        <w:rPr>
          <w:i/>
          <w:iCs/>
          <w:lang w:val="en-US"/>
        </w:rPr>
        <w:t xml:space="preserve"> = code rate, and </w:t>
      </w:r>
      <m:oMath>
        <m:r>
          <w:rPr>
            <w:rFonts w:ascii="Cambria Math" w:eastAsiaTheme="minorEastAsia" w:hAnsi="Cambria Math"/>
            <w:lang w:eastAsia="zh-CN"/>
          </w:rPr>
          <m:t>v</m:t>
        </m:r>
      </m:oMath>
      <w:r w:rsidRPr="3E61DC49">
        <w:rPr>
          <w:i/>
          <w:iCs/>
          <w:lang w:val="en-US"/>
        </w:rPr>
        <w:t xml:space="preserve"> = number of layers  </w:t>
      </w:r>
    </w:p>
    <w:p w14:paraId="030B3BFF" w14:textId="26D5AFE8" w:rsidR="00C95609" w:rsidRDefault="00C95609" w:rsidP="00C95609">
      <w:pPr>
        <w:rPr>
          <w:i/>
          <w:iCs/>
        </w:rPr>
      </w:pPr>
      <w:r w:rsidRPr="3E61DC49">
        <w:rPr>
          <w:b/>
          <w:bCs/>
          <w:i/>
          <w:iCs/>
        </w:rPr>
        <w:t xml:space="preserve">Proposal </w:t>
      </w:r>
      <w:r w:rsidR="008B72EC" w:rsidRPr="3E61DC49">
        <w:rPr>
          <w:b/>
          <w:bCs/>
          <w:i/>
          <w:iCs/>
        </w:rPr>
        <w:t>1</w:t>
      </w:r>
      <w:r w:rsidR="008B72EC">
        <w:rPr>
          <w:b/>
          <w:bCs/>
          <w:i/>
          <w:iCs/>
        </w:rPr>
        <w:t>9</w:t>
      </w:r>
      <w:r w:rsidRPr="3E61DC49">
        <w:rPr>
          <w:b/>
          <w:bCs/>
          <w:i/>
          <w:iCs/>
        </w:rPr>
        <w:t>:</w:t>
      </w:r>
      <w:r w:rsidRPr="3E61DC49">
        <w:rPr>
          <w:i/>
          <w:iCs/>
        </w:rPr>
        <w:t xml:space="preserve"> In case of slot aggregation in Rel-15, the following two options are supported: (1)</w:t>
      </w:r>
      <w:r>
        <w:t xml:space="preserve"> </w:t>
      </w:r>
      <w:r w:rsidRPr="3E61DC49">
        <w:rPr>
          <w:i/>
          <w:iCs/>
        </w:rPr>
        <w:t>one TB is mapped to multiple slots, and the TBS is determined in the same way as in single-slot scheduling; (2) one TB is mapped to each slot.</w:t>
      </w:r>
    </w:p>
    <w:p w14:paraId="6D7BC9C1" w14:textId="119EE01A" w:rsidR="008F2908" w:rsidRDefault="008F2908" w:rsidP="008F2908">
      <w:pPr>
        <w:rPr>
          <w:i/>
          <w:iCs/>
        </w:rPr>
      </w:pPr>
      <w:r w:rsidRPr="3E61DC49">
        <w:rPr>
          <w:b/>
          <w:bCs/>
          <w:i/>
          <w:iCs/>
        </w:rPr>
        <w:t xml:space="preserve">Proposal </w:t>
      </w:r>
      <w:r w:rsidR="008B72EC">
        <w:rPr>
          <w:b/>
          <w:bCs/>
          <w:i/>
          <w:iCs/>
        </w:rPr>
        <w:t>20</w:t>
      </w:r>
      <w:r w:rsidRPr="3E61DC49">
        <w:rPr>
          <w:b/>
          <w:bCs/>
          <w:i/>
          <w:iCs/>
        </w:rPr>
        <w:t>:</w:t>
      </w:r>
      <w:r w:rsidRPr="3E61DC49">
        <w:rPr>
          <w:i/>
          <w:iCs/>
        </w:rPr>
        <w:t xml:space="preserve"> </w:t>
      </w:r>
      <w:r>
        <w:rPr>
          <w:i/>
          <w:iCs/>
        </w:rPr>
        <w:t>For</w:t>
      </w:r>
      <w:r w:rsidRPr="00082154">
        <w:rPr>
          <w:i/>
          <w:iCs/>
        </w:rPr>
        <w:t xml:space="preserve"> grant-based DL or UL transmissions, a TB can</w:t>
      </w:r>
      <w:r>
        <w:rPr>
          <w:i/>
          <w:iCs/>
        </w:rPr>
        <w:t>not</w:t>
      </w:r>
      <w:r w:rsidRPr="00082154">
        <w:rPr>
          <w:i/>
          <w:iCs/>
        </w:rPr>
        <w:t xml:space="preserve"> span multiple slots without repetitions</w:t>
      </w:r>
      <w:r w:rsidRPr="3E61DC49">
        <w:rPr>
          <w:i/>
          <w:iCs/>
        </w:rPr>
        <w:t>.</w:t>
      </w:r>
    </w:p>
    <w:p w14:paraId="30E029F2" w14:textId="669531D3" w:rsidR="0034111C" w:rsidRPr="00521425" w:rsidRDefault="3E61DC49">
      <w:pPr>
        <w:pStyle w:val="Heading1"/>
      </w:pPr>
      <w:r>
        <w:t>References</w:t>
      </w:r>
    </w:p>
    <w:p w14:paraId="0A928E75" w14:textId="5A7F7FF6" w:rsidR="006641F4" w:rsidRPr="00A44B43" w:rsidRDefault="10E807B4" w:rsidP="10E807B4">
      <w:pPr>
        <w:pStyle w:val="NormalWeb"/>
        <w:numPr>
          <w:ilvl w:val="0"/>
          <w:numId w:val="1"/>
        </w:numPr>
        <w:spacing w:before="0" w:beforeAutospacing="0" w:after="120" w:afterAutospacing="0"/>
        <w:rPr>
          <w:sz w:val="20"/>
          <w:szCs w:val="20"/>
        </w:rPr>
      </w:pPr>
      <w:bookmarkStart w:id="4" w:name="_Ref485388646"/>
      <w:r w:rsidRPr="10E807B4">
        <w:rPr>
          <w:sz w:val="20"/>
          <w:szCs w:val="20"/>
        </w:rPr>
        <w:t>R1-1710989, “</w:t>
      </w:r>
      <w:r w:rsidRPr="00A75A52">
        <w:rPr>
          <w:i/>
          <w:sz w:val="20"/>
          <w:szCs w:val="20"/>
        </w:rPr>
        <w:t>On resource allocation in frequency domain for PDSCH and PUSCH in NR</w:t>
      </w:r>
      <w:r w:rsidRPr="00A44B43">
        <w:rPr>
          <w:sz w:val="20"/>
          <w:szCs w:val="20"/>
        </w:rPr>
        <w:t>”, Nokia, Alcatel-Lucent Shanghai Bell, RAN1 NR#2, June 2017.</w:t>
      </w:r>
      <w:bookmarkEnd w:id="4"/>
    </w:p>
    <w:p w14:paraId="75BA83B8" w14:textId="4F58537C" w:rsidR="008D4B7F" w:rsidRPr="00A44B43" w:rsidRDefault="008D4B7F" w:rsidP="00D16058">
      <w:pPr>
        <w:pStyle w:val="NormalWeb"/>
        <w:numPr>
          <w:ilvl w:val="0"/>
          <w:numId w:val="1"/>
        </w:numPr>
        <w:spacing w:before="0" w:beforeAutospacing="0" w:after="120" w:afterAutospacing="0"/>
        <w:rPr>
          <w:sz w:val="20"/>
          <w:szCs w:val="20"/>
        </w:rPr>
      </w:pPr>
      <w:bookmarkStart w:id="5" w:name="_Ref492459514"/>
      <w:r w:rsidRPr="00A16462">
        <w:rPr>
          <w:sz w:val="20"/>
          <w:szCs w:val="20"/>
        </w:rPr>
        <w:t>R1-171</w:t>
      </w:r>
      <w:r w:rsidR="00D16058">
        <w:rPr>
          <w:sz w:val="20"/>
          <w:szCs w:val="20"/>
        </w:rPr>
        <w:t>5755</w:t>
      </w:r>
      <w:r w:rsidRPr="00A75A52">
        <w:rPr>
          <w:sz w:val="20"/>
          <w:szCs w:val="20"/>
        </w:rPr>
        <w:t>, “</w:t>
      </w:r>
      <w:r w:rsidR="00D16058" w:rsidRPr="00D16058">
        <w:rPr>
          <w:i/>
          <w:sz w:val="20"/>
          <w:szCs w:val="20"/>
        </w:rPr>
        <w:t>On remaining aspects of NR CA/DC and BWPs</w:t>
      </w:r>
      <w:r w:rsidRPr="00A75A52">
        <w:rPr>
          <w:sz w:val="20"/>
          <w:szCs w:val="20"/>
        </w:rPr>
        <w:t>”, Nokia, Nokia Shanghai Bell, RAN1</w:t>
      </w:r>
      <w:r w:rsidR="00D16058">
        <w:rPr>
          <w:sz w:val="20"/>
          <w:szCs w:val="20"/>
        </w:rPr>
        <w:t>-NRAH#3</w:t>
      </w:r>
      <w:r w:rsidRPr="00A75A52">
        <w:rPr>
          <w:sz w:val="20"/>
          <w:szCs w:val="20"/>
        </w:rPr>
        <w:t xml:space="preserve">, </w:t>
      </w:r>
      <w:r w:rsidR="00D16058">
        <w:rPr>
          <w:sz w:val="20"/>
          <w:szCs w:val="20"/>
        </w:rPr>
        <w:t>Sep</w:t>
      </w:r>
      <w:r w:rsidRPr="00A75A52">
        <w:rPr>
          <w:sz w:val="20"/>
          <w:szCs w:val="20"/>
        </w:rPr>
        <w:t>. 2017.</w:t>
      </w:r>
      <w:bookmarkEnd w:id="5"/>
    </w:p>
    <w:p w14:paraId="4B68AB0B" w14:textId="23C65A9C" w:rsidR="32975CEE" w:rsidRPr="00A44B43" w:rsidRDefault="10E807B4" w:rsidP="10E807B4">
      <w:pPr>
        <w:pStyle w:val="NormalWeb"/>
        <w:numPr>
          <w:ilvl w:val="0"/>
          <w:numId w:val="1"/>
        </w:numPr>
        <w:spacing w:before="0" w:beforeAutospacing="0" w:after="120" w:afterAutospacing="0"/>
        <w:rPr>
          <w:sz w:val="20"/>
          <w:szCs w:val="20"/>
        </w:rPr>
      </w:pPr>
      <w:r w:rsidRPr="00A44B43">
        <w:rPr>
          <w:rFonts w:eastAsia="Calibri"/>
          <w:sz w:val="20"/>
          <w:szCs w:val="20"/>
          <w:lang w:val="en-GB"/>
        </w:rPr>
        <w:t>R4-1702019, Reply LS on subcarrier spacing and carrier frequencies, RAN4</w:t>
      </w:r>
    </w:p>
    <w:p w14:paraId="51FAD291" w14:textId="5BC63573" w:rsidR="32975CEE" w:rsidRPr="00A44B43" w:rsidRDefault="10E807B4" w:rsidP="10E807B4">
      <w:pPr>
        <w:pStyle w:val="NormalWeb"/>
        <w:numPr>
          <w:ilvl w:val="0"/>
          <w:numId w:val="1"/>
        </w:numPr>
        <w:spacing w:before="0" w:beforeAutospacing="0" w:after="120" w:afterAutospacing="0"/>
        <w:rPr>
          <w:sz w:val="20"/>
          <w:szCs w:val="20"/>
          <w:lang w:val="en-GB"/>
        </w:rPr>
      </w:pPr>
      <w:r w:rsidRPr="00A44B43">
        <w:rPr>
          <w:rFonts w:eastAsia="Calibri"/>
          <w:sz w:val="20"/>
          <w:szCs w:val="20"/>
          <w:lang w:val="en-GB"/>
        </w:rPr>
        <w:t>3GPP TR38.80</w:t>
      </w:r>
      <w:r w:rsidR="00A75A52">
        <w:rPr>
          <w:rFonts w:eastAsia="Calibri"/>
          <w:sz w:val="20"/>
          <w:szCs w:val="20"/>
          <w:lang w:val="en-GB"/>
        </w:rPr>
        <w:t>2</w:t>
      </w:r>
      <w:r w:rsidRPr="00A44B43">
        <w:rPr>
          <w:rFonts w:eastAsia="Calibri"/>
          <w:sz w:val="20"/>
          <w:szCs w:val="20"/>
          <w:lang w:val="en-GB"/>
        </w:rPr>
        <w:t>. Study on New Radio (NR) Access Technology; Physical Layer Aspects. V2.0.0</w:t>
      </w:r>
    </w:p>
    <w:p w14:paraId="6E1FBBEA" w14:textId="39C01017" w:rsidR="00A44B43" w:rsidRPr="00A44B43" w:rsidRDefault="00A44B43" w:rsidP="00A44B43">
      <w:pPr>
        <w:pStyle w:val="NormalWeb"/>
        <w:spacing w:before="0" w:beforeAutospacing="0" w:after="120" w:afterAutospacing="0"/>
        <w:rPr>
          <w:sz w:val="20"/>
          <w:szCs w:val="20"/>
          <w:lang w:val="en-GB"/>
        </w:rPr>
      </w:pPr>
    </w:p>
    <w:sectPr w:rsidR="00A44B43" w:rsidRPr="00A44B4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68411" w14:textId="77777777" w:rsidR="00C474D6" w:rsidRDefault="00C474D6">
      <w:r>
        <w:separator/>
      </w:r>
    </w:p>
  </w:endnote>
  <w:endnote w:type="continuationSeparator" w:id="0">
    <w:p w14:paraId="26AAC0DE" w14:textId="77777777" w:rsidR="00C474D6" w:rsidRDefault="00C4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ED509" w14:textId="77777777" w:rsidR="00C474D6" w:rsidRDefault="00C474D6">
      <w:r>
        <w:separator/>
      </w:r>
    </w:p>
  </w:footnote>
  <w:footnote w:type="continuationSeparator" w:id="0">
    <w:p w14:paraId="010E0E81" w14:textId="77777777" w:rsidR="00C474D6" w:rsidRDefault="00C47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021B51"/>
    <w:multiLevelType w:val="hybridMultilevel"/>
    <w:tmpl w:val="657482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8"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5C15B1"/>
    <w:multiLevelType w:val="multilevel"/>
    <w:tmpl w:val="A5449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8D55E1B"/>
    <w:multiLevelType w:val="hybridMultilevel"/>
    <w:tmpl w:val="EC2E3F2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1"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abstractNum w:abstractNumId="16" w15:restartNumberingAfterBreak="0">
    <w:nsid w:val="7FD5575F"/>
    <w:multiLevelType w:val="hybridMultilevel"/>
    <w:tmpl w:val="2514CC3A"/>
    <w:lvl w:ilvl="0" w:tplc="50ECCF36">
      <w:start w:val="1"/>
      <w:numFmt w:val="bullet"/>
      <w:lvlText w:val="•"/>
      <w:lvlJc w:val="left"/>
      <w:pPr>
        <w:tabs>
          <w:tab w:val="num" w:pos="720"/>
        </w:tabs>
        <w:ind w:left="720" w:hanging="360"/>
      </w:pPr>
      <w:rPr>
        <w:rFonts w:ascii="Arial" w:hAnsi="Arial" w:hint="default"/>
      </w:rPr>
    </w:lvl>
    <w:lvl w:ilvl="1" w:tplc="F6363B14">
      <w:start w:val="1"/>
      <w:numFmt w:val="bullet"/>
      <w:lvlText w:val="•"/>
      <w:lvlJc w:val="left"/>
      <w:pPr>
        <w:tabs>
          <w:tab w:val="num" w:pos="1440"/>
        </w:tabs>
        <w:ind w:left="1440" w:hanging="360"/>
      </w:pPr>
      <w:rPr>
        <w:rFonts w:ascii="Arial" w:hAnsi="Arial" w:hint="default"/>
      </w:rPr>
    </w:lvl>
    <w:lvl w:ilvl="2" w:tplc="E8F815F0">
      <w:start w:val="1"/>
      <w:numFmt w:val="bullet"/>
      <w:lvlText w:val="•"/>
      <w:lvlJc w:val="left"/>
      <w:pPr>
        <w:tabs>
          <w:tab w:val="num" w:pos="2160"/>
        </w:tabs>
        <w:ind w:left="2160" w:hanging="360"/>
      </w:pPr>
      <w:rPr>
        <w:rFonts w:ascii="Arial" w:hAnsi="Arial" w:hint="default"/>
      </w:rPr>
    </w:lvl>
    <w:lvl w:ilvl="3" w:tplc="02666046">
      <w:numFmt w:val="bullet"/>
      <w:lvlText w:val="•"/>
      <w:lvlJc w:val="left"/>
      <w:pPr>
        <w:tabs>
          <w:tab w:val="num" w:pos="2880"/>
        </w:tabs>
        <w:ind w:left="2880" w:hanging="360"/>
      </w:pPr>
      <w:rPr>
        <w:rFonts w:ascii="Arial" w:hAnsi="Arial" w:hint="default"/>
      </w:rPr>
    </w:lvl>
    <w:lvl w:ilvl="4" w:tplc="FAA2DDA2" w:tentative="1">
      <w:start w:val="1"/>
      <w:numFmt w:val="bullet"/>
      <w:lvlText w:val="•"/>
      <w:lvlJc w:val="left"/>
      <w:pPr>
        <w:tabs>
          <w:tab w:val="num" w:pos="3600"/>
        </w:tabs>
        <w:ind w:left="3600" w:hanging="360"/>
      </w:pPr>
      <w:rPr>
        <w:rFonts w:ascii="Arial" w:hAnsi="Arial" w:hint="default"/>
      </w:rPr>
    </w:lvl>
    <w:lvl w:ilvl="5" w:tplc="24ECBFBE" w:tentative="1">
      <w:start w:val="1"/>
      <w:numFmt w:val="bullet"/>
      <w:lvlText w:val="•"/>
      <w:lvlJc w:val="left"/>
      <w:pPr>
        <w:tabs>
          <w:tab w:val="num" w:pos="4320"/>
        </w:tabs>
        <w:ind w:left="4320" w:hanging="360"/>
      </w:pPr>
      <w:rPr>
        <w:rFonts w:ascii="Arial" w:hAnsi="Arial" w:hint="default"/>
      </w:rPr>
    </w:lvl>
    <w:lvl w:ilvl="6" w:tplc="55589800" w:tentative="1">
      <w:start w:val="1"/>
      <w:numFmt w:val="bullet"/>
      <w:lvlText w:val="•"/>
      <w:lvlJc w:val="left"/>
      <w:pPr>
        <w:tabs>
          <w:tab w:val="num" w:pos="5040"/>
        </w:tabs>
        <w:ind w:left="5040" w:hanging="360"/>
      </w:pPr>
      <w:rPr>
        <w:rFonts w:ascii="Arial" w:hAnsi="Arial" w:hint="default"/>
      </w:rPr>
    </w:lvl>
    <w:lvl w:ilvl="7" w:tplc="DD9A1AC2" w:tentative="1">
      <w:start w:val="1"/>
      <w:numFmt w:val="bullet"/>
      <w:lvlText w:val="•"/>
      <w:lvlJc w:val="left"/>
      <w:pPr>
        <w:tabs>
          <w:tab w:val="num" w:pos="5760"/>
        </w:tabs>
        <w:ind w:left="5760" w:hanging="360"/>
      </w:pPr>
      <w:rPr>
        <w:rFonts w:ascii="Arial" w:hAnsi="Arial" w:hint="default"/>
      </w:rPr>
    </w:lvl>
    <w:lvl w:ilvl="8" w:tplc="0994D4B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3"/>
  </w:num>
  <w:num w:numId="4">
    <w:abstractNumId w:val="1"/>
  </w:num>
  <w:num w:numId="5">
    <w:abstractNumId w:val="4"/>
  </w:num>
  <w:num w:numId="6">
    <w:abstractNumId w:val="12"/>
  </w:num>
  <w:num w:numId="7">
    <w:abstractNumId w:val="6"/>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16"/>
  </w:num>
  <w:num w:numId="16">
    <w:abstractNumId w:val="5"/>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7FB"/>
    <w:rsid w:val="000719BF"/>
    <w:rsid w:val="0007208A"/>
    <w:rsid w:val="00072BBA"/>
    <w:rsid w:val="00072FF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5BFD"/>
    <w:rsid w:val="00156ABA"/>
    <w:rsid w:val="00157390"/>
    <w:rsid w:val="00160998"/>
    <w:rsid w:val="00160CD6"/>
    <w:rsid w:val="00160F5F"/>
    <w:rsid w:val="00162308"/>
    <w:rsid w:val="0016316A"/>
    <w:rsid w:val="0016381F"/>
    <w:rsid w:val="00163D1D"/>
    <w:rsid w:val="00164171"/>
    <w:rsid w:val="00164E58"/>
    <w:rsid w:val="00165033"/>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5296"/>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A2A"/>
    <w:rsid w:val="00204B22"/>
    <w:rsid w:val="00204B3A"/>
    <w:rsid w:val="0020535A"/>
    <w:rsid w:val="002055CB"/>
    <w:rsid w:val="002059EF"/>
    <w:rsid w:val="00206955"/>
    <w:rsid w:val="00210309"/>
    <w:rsid w:val="00211519"/>
    <w:rsid w:val="0021224B"/>
    <w:rsid w:val="00212FB8"/>
    <w:rsid w:val="00213709"/>
    <w:rsid w:val="002149AF"/>
    <w:rsid w:val="00214A86"/>
    <w:rsid w:val="00215AAA"/>
    <w:rsid w:val="0021683C"/>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DE2"/>
    <w:rsid w:val="0028616D"/>
    <w:rsid w:val="00286965"/>
    <w:rsid w:val="0029136E"/>
    <w:rsid w:val="00292399"/>
    <w:rsid w:val="00294445"/>
    <w:rsid w:val="00294B4D"/>
    <w:rsid w:val="0029537E"/>
    <w:rsid w:val="002960D5"/>
    <w:rsid w:val="00297926"/>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2491"/>
    <w:rsid w:val="003935B0"/>
    <w:rsid w:val="00393E44"/>
    <w:rsid w:val="00394301"/>
    <w:rsid w:val="0039747B"/>
    <w:rsid w:val="00397AB6"/>
    <w:rsid w:val="00397ACA"/>
    <w:rsid w:val="003A10C3"/>
    <w:rsid w:val="003A4A40"/>
    <w:rsid w:val="003A4C7C"/>
    <w:rsid w:val="003A5611"/>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50B9"/>
    <w:rsid w:val="003E64A9"/>
    <w:rsid w:val="003E7905"/>
    <w:rsid w:val="003F0336"/>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C2C"/>
    <w:rsid w:val="00596BBA"/>
    <w:rsid w:val="00597386"/>
    <w:rsid w:val="005975C4"/>
    <w:rsid w:val="00597ED8"/>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0BB6"/>
    <w:rsid w:val="005E3073"/>
    <w:rsid w:val="005E316A"/>
    <w:rsid w:val="005E7088"/>
    <w:rsid w:val="005E7E1B"/>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65D"/>
    <w:rsid w:val="00642E8C"/>
    <w:rsid w:val="006433BD"/>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C44"/>
    <w:rsid w:val="007D1972"/>
    <w:rsid w:val="007D1F33"/>
    <w:rsid w:val="007D3307"/>
    <w:rsid w:val="007D5E27"/>
    <w:rsid w:val="007D6F64"/>
    <w:rsid w:val="007E25AB"/>
    <w:rsid w:val="007E44FC"/>
    <w:rsid w:val="007E5AC2"/>
    <w:rsid w:val="007E79C5"/>
    <w:rsid w:val="007F2845"/>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6414"/>
    <w:rsid w:val="0089716F"/>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5657"/>
    <w:rsid w:val="008E5E51"/>
    <w:rsid w:val="008F00DB"/>
    <w:rsid w:val="008F1264"/>
    <w:rsid w:val="008F2908"/>
    <w:rsid w:val="008F47C6"/>
    <w:rsid w:val="008F6647"/>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1E7D"/>
    <w:rsid w:val="009120A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91B"/>
    <w:rsid w:val="00A50A48"/>
    <w:rsid w:val="00A51180"/>
    <w:rsid w:val="00A51242"/>
    <w:rsid w:val="00A51522"/>
    <w:rsid w:val="00A51573"/>
    <w:rsid w:val="00A51A5E"/>
    <w:rsid w:val="00A5289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4692"/>
    <w:rsid w:val="00A75A52"/>
    <w:rsid w:val="00A7618B"/>
    <w:rsid w:val="00A7640B"/>
    <w:rsid w:val="00A7778B"/>
    <w:rsid w:val="00A803BC"/>
    <w:rsid w:val="00A80969"/>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3E2B"/>
    <w:rsid w:val="00BB5D1C"/>
    <w:rsid w:val="00BB6552"/>
    <w:rsid w:val="00BB6B9B"/>
    <w:rsid w:val="00BB754F"/>
    <w:rsid w:val="00BC0058"/>
    <w:rsid w:val="00BC07D4"/>
    <w:rsid w:val="00BC0A5D"/>
    <w:rsid w:val="00BC0BE3"/>
    <w:rsid w:val="00BC1AD9"/>
    <w:rsid w:val="00BC32E7"/>
    <w:rsid w:val="00BC4F81"/>
    <w:rsid w:val="00BC5670"/>
    <w:rsid w:val="00BC58B9"/>
    <w:rsid w:val="00BD3056"/>
    <w:rsid w:val="00BD3846"/>
    <w:rsid w:val="00BD3E68"/>
    <w:rsid w:val="00BD4E05"/>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681"/>
    <w:rsid w:val="00D31B6E"/>
    <w:rsid w:val="00D3232B"/>
    <w:rsid w:val="00D3239F"/>
    <w:rsid w:val="00D324A4"/>
    <w:rsid w:val="00D3250C"/>
    <w:rsid w:val="00D328F6"/>
    <w:rsid w:val="00D345D4"/>
    <w:rsid w:val="00D3462C"/>
    <w:rsid w:val="00D35198"/>
    <w:rsid w:val="00D3584B"/>
    <w:rsid w:val="00D35A85"/>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11D7"/>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28F"/>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27C3"/>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5AIRPNAIUNRU-1830940522-2066</_dlc_DocId>
    <_dlc_DocIdUrl xmlns="71c5aaf6-e6ce-465b-b873-5148d2a4c105">
      <Url>https://nokia.sharepoint.com/sites/c5g/5gradio/_layouts/15/DocIdRedir.aspx?ID=5AIRPNAIUNRU-1830940522-2066</Url>
      <Description>5AIRPNAIUNRU-1830940522-2066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707612-25A7-46FE-9C96-320FB6DB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4779</Words>
  <Characters>27244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2</cp:revision>
  <cp:lastPrinted>2016-06-20T11:35:00Z</cp:lastPrinted>
  <dcterms:created xsi:type="dcterms:W3CDTF">2017-10-02T20:51:00Z</dcterms:created>
  <dcterms:modified xsi:type="dcterms:W3CDTF">2017-10-02T20:51:00Z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2369054a-0353-4923-8fb3-27b467eff610</vt:lpwstr>
  </property>
</Properties>
</file>